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98" w:rsidRPr="00FA25A3" w:rsidRDefault="00291B98" w:rsidP="00291B98">
      <w:pPr>
        <w:rPr>
          <w:b/>
          <w:szCs w:val="24"/>
        </w:rPr>
      </w:pPr>
      <w:r w:rsidRPr="00FA25A3">
        <w:rPr>
          <w:b/>
          <w:szCs w:val="24"/>
        </w:rPr>
        <w:t>APPENDIX 6</w:t>
      </w:r>
    </w:p>
    <w:p w:rsidR="00291B98" w:rsidRDefault="00291B98" w:rsidP="00291B98">
      <w:pPr>
        <w:rPr>
          <w:b/>
          <w:szCs w:val="24"/>
        </w:rPr>
      </w:pPr>
    </w:p>
    <w:p w:rsidR="00291B98" w:rsidRPr="004E13C7" w:rsidRDefault="00291B98" w:rsidP="00291B98">
      <w:pPr>
        <w:rPr>
          <w:b/>
          <w:szCs w:val="24"/>
        </w:rPr>
      </w:pPr>
    </w:p>
    <w:p w:rsidR="00291B98" w:rsidRDefault="00291B98" w:rsidP="00291B98">
      <w:pPr>
        <w:jc w:val="center"/>
        <w:rPr>
          <w:b/>
          <w:szCs w:val="24"/>
        </w:rPr>
      </w:pPr>
      <w:r w:rsidRPr="00A063F8">
        <w:rPr>
          <w:b/>
          <w:szCs w:val="24"/>
        </w:rPr>
        <w:t xml:space="preserve">NUTRITIONAL GUIDELINES FOR HOSPITAL CATERING’ </w:t>
      </w:r>
    </w:p>
    <w:p w:rsidR="00291B98" w:rsidRPr="00A063F8" w:rsidRDefault="00291B98" w:rsidP="00291B98">
      <w:pPr>
        <w:jc w:val="center"/>
        <w:rPr>
          <w:b/>
          <w:szCs w:val="24"/>
        </w:rPr>
      </w:pPr>
      <w:proofErr w:type="gramStart"/>
      <w:r w:rsidRPr="00A063F8">
        <w:rPr>
          <w:b/>
          <w:szCs w:val="24"/>
        </w:rPr>
        <w:t>HEALTH OF THE NATION (1995).</w:t>
      </w:r>
      <w:proofErr w:type="gramEnd"/>
    </w:p>
    <w:p w:rsidR="00291B98" w:rsidRDefault="00291B98" w:rsidP="00291B98">
      <w:pPr>
        <w:rPr>
          <w:sz w:val="20"/>
        </w:rPr>
      </w:pPr>
    </w:p>
    <w:p w:rsidR="00291B98" w:rsidRDefault="00291B98" w:rsidP="00291B9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62"/>
        <w:gridCol w:w="4645"/>
      </w:tblGrid>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shd w:val="clear" w:color="auto" w:fill="4F81BD"/>
          </w:tcPr>
          <w:p w:rsidR="00291B98" w:rsidRPr="00E01731" w:rsidRDefault="00291B98" w:rsidP="00E01731">
            <w:pPr>
              <w:jc w:val="center"/>
              <w:rPr>
                <w:b/>
                <w:bCs/>
                <w:color w:val="FFFFFF"/>
                <w:sz w:val="20"/>
              </w:rPr>
            </w:pPr>
          </w:p>
          <w:p w:rsidR="00291B98" w:rsidRPr="00E01731" w:rsidRDefault="00291B98" w:rsidP="00E01731">
            <w:pPr>
              <w:jc w:val="center"/>
              <w:rPr>
                <w:b/>
                <w:bCs/>
                <w:color w:val="FFFFFF"/>
                <w:sz w:val="20"/>
              </w:rPr>
            </w:pPr>
            <w:r w:rsidRPr="00E01731">
              <w:rPr>
                <w:b/>
                <w:bCs/>
                <w:color w:val="FFFFFF"/>
                <w:sz w:val="20"/>
              </w:rPr>
              <w:t>NUTRIENT</w:t>
            </w:r>
          </w:p>
        </w:tc>
        <w:tc>
          <w:tcPr>
            <w:tcW w:w="3162" w:type="dxa"/>
            <w:tcBorders>
              <w:top w:val="single" w:sz="8" w:space="0" w:color="4F81BD"/>
              <w:left w:val="single" w:sz="8" w:space="0" w:color="4F81BD"/>
              <w:bottom w:val="single" w:sz="8" w:space="0" w:color="4F81BD"/>
              <w:right w:val="single" w:sz="8" w:space="0" w:color="4F81BD"/>
            </w:tcBorders>
            <w:shd w:val="clear" w:color="auto" w:fill="4F81BD"/>
          </w:tcPr>
          <w:p w:rsidR="00291B98" w:rsidRPr="00E01731" w:rsidRDefault="00291B98" w:rsidP="00E01731">
            <w:pPr>
              <w:jc w:val="center"/>
              <w:rPr>
                <w:b/>
                <w:bCs/>
                <w:color w:val="FFFFFF"/>
                <w:sz w:val="20"/>
              </w:rPr>
            </w:pPr>
            <w:r w:rsidRPr="00E01731">
              <w:rPr>
                <w:b/>
                <w:bCs/>
                <w:color w:val="FFFFFF"/>
                <w:sz w:val="20"/>
              </w:rPr>
              <w:t xml:space="preserve">      </w:t>
            </w:r>
          </w:p>
        </w:tc>
        <w:tc>
          <w:tcPr>
            <w:tcW w:w="4645" w:type="dxa"/>
            <w:tcBorders>
              <w:top w:val="single" w:sz="8" w:space="0" w:color="4F81BD"/>
              <w:left w:val="single" w:sz="8" w:space="0" w:color="4F81BD"/>
              <w:bottom w:val="single" w:sz="8" w:space="0" w:color="4F81BD"/>
              <w:right w:val="single" w:sz="8" w:space="0" w:color="4F81BD"/>
            </w:tcBorders>
            <w:shd w:val="clear" w:color="auto" w:fill="4F81BD"/>
          </w:tcPr>
          <w:p w:rsidR="00291B98" w:rsidRPr="00E01731" w:rsidRDefault="00291B98" w:rsidP="00E01731">
            <w:pPr>
              <w:jc w:val="center"/>
              <w:rPr>
                <w:b/>
                <w:bCs/>
                <w:color w:val="FFFFFF"/>
                <w:sz w:val="20"/>
              </w:rPr>
            </w:pPr>
          </w:p>
          <w:p w:rsidR="00291B98" w:rsidRPr="00E01731" w:rsidRDefault="00291B98" w:rsidP="00E01731">
            <w:pPr>
              <w:jc w:val="center"/>
              <w:rPr>
                <w:b/>
                <w:bCs/>
                <w:color w:val="FFFFFF"/>
                <w:sz w:val="20"/>
              </w:rPr>
            </w:pPr>
            <w:r w:rsidRPr="00E01731">
              <w:rPr>
                <w:b/>
                <w:bCs/>
                <w:color w:val="FFFFFF"/>
                <w:sz w:val="20"/>
              </w:rPr>
              <w:t>OTHER COMMENTS</w:t>
            </w:r>
          </w:p>
          <w:p w:rsidR="00291B98" w:rsidRPr="00E01731" w:rsidRDefault="00291B98" w:rsidP="00E01731">
            <w:pPr>
              <w:jc w:val="center"/>
              <w:rPr>
                <w:b/>
                <w:bCs/>
                <w:color w:val="FFFFFF"/>
                <w:sz w:val="20"/>
              </w:rPr>
            </w:pP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Energy</w:t>
            </w:r>
          </w:p>
          <w:p w:rsidR="00291B98" w:rsidRPr="00E01731" w:rsidRDefault="00291B98" w:rsidP="0007797A">
            <w:pPr>
              <w:rPr>
                <w:b/>
                <w:bCs/>
                <w:szCs w:val="24"/>
              </w:rPr>
            </w:pPr>
          </w:p>
          <w:p w:rsidR="00291B98" w:rsidRPr="00E01731" w:rsidRDefault="00291B98" w:rsidP="0007797A">
            <w:pPr>
              <w:rPr>
                <w:b/>
                <w:bCs/>
                <w:sz w:val="20"/>
              </w:rPr>
            </w:pP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szCs w:val="24"/>
              </w:rPr>
            </w:pPr>
          </w:p>
          <w:p w:rsidR="00291B98" w:rsidRPr="00E01731" w:rsidRDefault="00291B98" w:rsidP="0007797A">
            <w:pPr>
              <w:rPr>
                <w:szCs w:val="24"/>
              </w:rPr>
            </w:pPr>
            <w:r w:rsidRPr="00E01731">
              <w:rPr>
                <w:szCs w:val="24"/>
              </w:rPr>
              <w:t>1200-2500 kcal</w:t>
            </w: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ind w:left="34"/>
              <w:rPr>
                <w:b/>
                <w:bCs/>
                <w:szCs w:val="24"/>
              </w:rPr>
            </w:pPr>
          </w:p>
          <w:p w:rsidR="00291B98" w:rsidRPr="00E01731" w:rsidRDefault="00291B98" w:rsidP="00E01731">
            <w:pPr>
              <w:numPr>
                <w:ilvl w:val="0"/>
                <w:numId w:val="1"/>
              </w:numPr>
              <w:rPr>
                <w:b/>
                <w:bCs/>
                <w:szCs w:val="24"/>
              </w:rPr>
            </w:pPr>
            <w:r w:rsidRPr="00E01731">
              <w:rPr>
                <w:b/>
                <w:bCs/>
                <w:szCs w:val="24"/>
              </w:rPr>
              <w:t>300 kcal for each main meal.</w:t>
            </w:r>
          </w:p>
          <w:p w:rsidR="00291B98" w:rsidRPr="00E01731" w:rsidRDefault="00291B98" w:rsidP="00E01731">
            <w:pPr>
              <w:numPr>
                <w:ilvl w:val="0"/>
                <w:numId w:val="1"/>
              </w:numPr>
              <w:rPr>
                <w:b/>
                <w:bCs/>
                <w:szCs w:val="24"/>
              </w:rPr>
            </w:pPr>
            <w:r w:rsidRPr="00E01731">
              <w:rPr>
                <w:b/>
                <w:bCs/>
                <w:szCs w:val="24"/>
              </w:rPr>
              <w:t>500 kcal for an energy dense meal.</w:t>
            </w: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Protein</w:t>
            </w: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szCs w:val="24"/>
              </w:rPr>
            </w:pPr>
          </w:p>
          <w:p w:rsidR="00291B98" w:rsidRPr="00E01731" w:rsidRDefault="00291B98" w:rsidP="0007797A">
            <w:pPr>
              <w:rPr>
                <w:szCs w:val="24"/>
              </w:rPr>
            </w:pPr>
            <w:r w:rsidRPr="00E01731">
              <w:rPr>
                <w:szCs w:val="24"/>
              </w:rPr>
              <w:t>50 -80g</w:t>
            </w: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E01731">
            <w:pPr>
              <w:numPr>
                <w:ilvl w:val="0"/>
                <w:numId w:val="2"/>
              </w:numPr>
              <w:rPr>
                <w:b/>
                <w:bCs/>
                <w:szCs w:val="24"/>
              </w:rPr>
            </w:pPr>
            <w:r w:rsidRPr="00E01731">
              <w:rPr>
                <w:b/>
                <w:bCs/>
                <w:szCs w:val="24"/>
              </w:rPr>
              <w:t>18g per main meal.</w:t>
            </w:r>
          </w:p>
          <w:p w:rsidR="00291B98" w:rsidRPr="00E01731" w:rsidRDefault="00291B98" w:rsidP="00E01731">
            <w:pPr>
              <w:numPr>
                <w:ilvl w:val="0"/>
                <w:numId w:val="2"/>
              </w:numPr>
              <w:rPr>
                <w:b/>
                <w:bCs/>
                <w:szCs w:val="24"/>
              </w:rPr>
            </w:pPr>
            <w:r w:rsidRPr="00E01731">
              <w:rPr>
                <w:b/>
                <w:bCs/>
                <w:szCs w:val="24"/>
              </w:rPr>
              <w:t>Absolute minimum of 12g for vegetarian options.</w:t>
            </w:r>
          </w:p>
          <w:p w:rsidR="00291B98" w:rsidRPr="00E01731" w:rsidRDefault="00291B98" w:rsidP="0007797A">
            <w:pPr>
              <w:rPr>
                <w:b/>
                <w:bCs/>
                <w:sz w:val="20"/>
              </w:rPr>
            </w:pP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Vitamin C</w:t>
            </w: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ind w:right="-990"/>
              <w:rPr>
                <w:szCs w:val="24"/>
              </w:rPr>
            </w:pPr>
          </w:p>
          <w:p w:rsidR="00291B98" w:rsidRPr="00E01731" w:rsidRDefault="00291B98" w:rsidP="00E01731">
            <w:pPr>
              <w:ind w:right="-990"/>
              <w:rPr>
                <w:szCs w:val="24"/>
              </w:rPr>
            </w:pPr>
            <w:r w:rsidRPr="00E01731">
              <w:rPr>
                <w:szCs w:val="24"/>
              </w:rPr>
              <w:t xml:space="preserve">40mg </w:t>
            </w:r>
          </w:p>
          <w:p w:rsidR="00291B98" w:rsidRPr="00E01731" w:rsidRDefault="00291B98" w:rsidP="0007797A">
            <w:pPr>
              <w:rPr>
                <w:sz w:val="20"/>
              </w:rPr>
            </w:pP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Iron</w:t>
            </w: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ind w:right="-990"/>
              <w:rPr>
                <w:szCs w:val="24"/>
              </w:rPr>
            </w:pPr>
          </w:p>
          <w:p w:rsidR="00291B98" w:rsidRPr="00E01731" w:rsidRDefault="00291B98" w:rsidP="00E01731">
            <w:pPr>
              <w:ind w:right="-990"/>
              <w:rPr>
                <w:szCs w:val="24"/>
              </w:rPr>
            </w:pPr>
            <w:r w:rsidRPr="00E01731">
              <w:rPr>
                <w:szCs w:val="24"/>
              </w:rPr>
              <w:t xml:space="preserve">8.7mg (women over 50 </w:t>
            </w:r>
          </w:p>
          <w:p w:rsidR="00291B98" w:rsidRPr="00E01731" w:rsidRDefault="00291B98" w:rsidP="00E01731">
            <w:pPr>
              <w:ind w:right="-990"/>
              <w:rPr>
                <w:szCs w:val="24"/>
              </w:rPr>
            </w:pPr>
            <w:proofErr w:type="gramStart"/>
            <w:r w:rsidRPr="00E01731">
              <w:rPr>
                <w:szCs w:val="24"/>
              </w:rPr>
              <w:t>and</w:t>
            </w:r>
            <w:proofErr w:type="gramEnd"/>
            <w:r w:rsidRPr="00E01731">
              <w:rPr>
                <w:szCs w:val="24"/>
              </w:rPr>
              <w:t xml:space="preserve"> men).</w:t>
            </w:r>
          </w:p>
          <w:p w:rsidR="00291B98" w:rsidRPr="00E01731" w:rsidRDefault="00291B98" w:rsidP="00E01731">
            <w:pPr>
              <w:ind w:right="-990"/>
              <w:rPr>
                <w:szCs w:val="24"/>
              </w:rPr>
            </w:pPr>
            <w:r w:rsidRPr="00E01731">
              <w:rPr>
                <w:szCs w:val="24"/>
              </w:rPr>
              <w:t>14.8mg (women19 – 50</w:t>
            </w:r>
          </w:p>
          <w:p w:rsidR="00291B98" w:rsidRPr="00E01731" w:rsidRDefault="00291B98" w:rsidP="00E01731">
            <w:pPr>
              <w:ind w:right="-990"/>
              <w:rPr>
                <w:szCs w:val="24"/>
              </w:rPr>
            </w:pPr>
            <w:r w:rsidRPr="00E01731">
              <w:rPr>
                <w:szCs w:val="24"/>
              </w:rPr>
              <w:t xml:space="preserve"> </w:t>
            </w:r>
            <w:proofErr w:type="gramStart"/>
            <w:r w:rsidRPr="00E01731">
              <w:rPr>
                <w:szCs w:val="24"/>
              </w:rPr>
              <w:t>years</w:t>
            </w:r>
            <w:proofErr w:type="gramEnd"/>
            <w:r w:rsidRPr="00E01731">
              <w:rPr>
                <w:szCs w:val="24"/>
              </w:rPr>
              <w:t>).</w:t>
            </w:r>
          </w:p>
          <w:p w:rsidR="00291B98" w:rsidRPr="00E01731" w:rsidRDefault="00291B98" w:rsidP="0007797A">
            <w:pPr>
              <w:rPr>
                <w:sz w:val="20"/>
              </w:rPr>
            </w:pP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Folic acid</w:t>
            </w: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szCs w:val="24"/>
              </w:rPr>
            </w:pPr>
          </w:p>
          <w:p w:rsidR="00291B98" w:rsidRPr="00E01731" w:rsidRDefault="00291B98" w:rsidP="0007797A">
            <w:pPr>
              <w:rPr>
                <w:szCs w:val="24"/>
              </w:rPr>
            </w:pPr>
            <w:r w:rsidRPr="00E01731">
              <w:rPr>
                <w:szCs w:val="24"/>
              </w:rPr>
              <w:t>200ug</w:t>
            </w:r>
          </w:p>
          <w:p w:rsidR="00291B98" w:rsidRPr="00E01731" w:rsidRDefault="00291B98" w:rsidP="0007797A">
            <w:pPr>
              <w:rPr>
                <w:sz w:val="20"/>
              </w:rPr>
            </w:pP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tc>
      </w:tr>
      <w:tr w:rsidR="00291B98" w:rsidRPr="00E01731" w:rsidTr="00E01731">
        <w:tc>
          <w:tcPr>
            <w:tcW w:w="1350"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 xml:space="preserve">Dietary Fibre </w:t>
            </w:r>
          </w:p>
          <w:p w:rsidR="00291B98" w:rsidRPr="00E01731" w:rsidRDefault="00291B98" w:rsidP="0007797A">
            <w:pPr>
              <w:rPr>
                <w:b/>
                <w:bCs/>
                <w:sz w:val="20"/>
              </w:rPr>
            </w:pPr>
          </w:p>
        </w:tc>
        <w:tc>
          <w:tcPr>
            <w:tcW w:w="3162"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p w:rsidR="00291B98" w:rsidRPr="00E01731" w:rsidRDefault="00291B98" w:rsidP="0007797A">
            <w:pPr>
              <w:rPr>
                <w:b/>
                <w:bCs/>
                <w:szCs w:val="24"/>
              </w:rPr>
            </w:pPr>
            <w:r w:rsidRPr="00E01731">
              <w:rPr>
                <w:b/>
                <w:bCs/>
                <w:szCs w:val="24"/>
              </w:rPr>
              <w:t xml:space="preserve">12g </w:t>
            </w:r>
          </w:p>
          <w:p w:rsidR="00291B98" w:rsidRPr="00E01731" w:rsidRDefault="00291B98" w:rsidP="0007797A">
            <w:pPr>
              <w:rPr>
                <w:b/>
                <w:bCs/>
                <w:szCs w:val="24"/>
              </w:rPr>
            </w:pPr>
          </w:p>
        </w:tc>
        <w:tc>
          <w:tcPr>
            <w:tcW w:w="4645" w:type="dxa"/>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Cs w:val="24"/>
              </w:rPr>
            </w:pPr>
          </w:p>
        </w:tc>
      </w:tr>
    </w:tbl>
    <w:p w:rsidR="00291B98" w:rsidRPr="006B0477" w:rsidRDefault="00291B98" w:rsidP="00291B98">
      <w:pPr>
        <w:rPr>
          <w:szCs w:val="24"/>
        </w:rPr>
      </w:pPr>
    </w:p>
    <w:p w:rsidR="00291B98" w:rsidRDefault="00291B98" w:rsidP="00291B98">
      <w:pPr>
        <w:jc w:val="center"/>
        <w:rPr>
          <w:i/>
          <w:szCs w:val="24"/>
        </w:rPr>
      </w:pPr>
      <w:r w:rsidRPr="006B0477">
        <w:rPr>
          <w:i/>
          <w:szCs w:val="24"/>
        </w:rPr>
        <w:t>These requirements may be increased (or decreased)</w:t>
      </w:r>
    </w:p>
    <w:p w:rsidR="00291B98" w:rsidRPr="006B0477" w:rsidRDefault="00291B98" w:rsidP="00291B98">
      <w:pPr>
        <w:jc w:val="center"/>
        <w:rPr>
          <w:i/>
          <w:szCs w:val="24"/>
        </w:rPr>
      </w:pPr>
      <w:proofErr w:type="gramStart"/>
      <w:r w:rsidRPr="006B0477">
        <w:rPr>
          <w:i/>
          <w:szCs w:val="24"/>
        </w:rPr>
        <w:t>by</w:t>
      </w:r>
      <w:proofErr w:type="gramEnd"/>
      <w:r w:rsidRPr="006B0477">
        <w:rPr>
          <w:i/>
          <w:szCs w:val="24"/>
        </w:rPr>
        <w:t xml:space="preserve"> the effects of trauma or specific illness.</w:t>
      </w:r>
    </w:p>
    <w:p w:rsidR="00291B98" w:rsidRDefault="00291B98" w:rsidP="00291B98">
      <w:pPr>
        <w:rPr>
          <w:sz w:val="20"/>
        </w:rPr>
      </w:pPr>
    </w:p>
    <w:p w:rsidR="00291B98" w:rsidRDefault="00291B98" w:rsidP="00291B98">
      <w:pPr>
        <w:rPr>
          <w:b/>
          <w:sz w:val="20"/>
        </w:rPr>
      </w:pPr>
    </w:p>
    <w:p w:rsidR="00291B98" w:rsidRDefault="00291B98" w:rsidP="00291B98">
      <w:pPr>
        <w:rPr>
          <w:b/>
          <w:sz w:val="20"/>
        </w:rPr>
      </w:pPr>
    </w:p>
    <w:p w:rsidR="00291B98" w:rsidRDefault="00291B98" w:rsidP="00291B98">
      <w:pPr>
        <w:rPr>
          <w:b/>
          <w:sz w:val="20"/>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rPr>
      </w:pPr>
    </w:p>
    <w:p w:rsidR="00291B98" w:rsidRDefault="00291B98" w:rsidP="00291B98">
      <w:pPr>
        <w:rPr>
          <w:b/>
          <w:sz w:val="20"/>
        </w:rPr>
      </w:pPr>
      <w:r w:rsidRPr="00424D5D">
        <w:rPr>
          <w:b/>
        </w:rPr>
        <w:lastRenderedPageBreak/>
        <w:t xml:space="preserve">Nutrient Specification </w:t>
      </w:r>
      <w:proofErr w:type="gramStart"/>
      <w:r w:rsidRPr="00424D5D">
        <w:rPr>
          <w:b/>
        </w:rPr>
        <w:t>For</w:t>
      </w:r>
      <w:proofErr w:type="gramEnd"/>
      <w:r w:rsidRPr="00424D5D">
        <w:rPr>
          <w:b/>
        </w:rPr>
        <w:t xml:space="preserve"> Foods In Hospital – The Scottish Government 2008.</w:t>
      </w:r>
    </w:p>
    <w:p w:rsidR="00291B98" w:rsidRPr="00424D5D" w:rsidRDefault="00291B98" w:rsidP="00291B98">
      <w:pPr>
        <w:spacing w:before="100" w:beforeAutospacing="1" w:after="100" w:afterAutospacing="1"/>
        <w:rPr>
          <w:sz w:val="22"/>
          <w:szCs w:val="22"/>
          <w:lang w:val="en-GB"/>
        </w:rPr>
      </w:pPr>
      <w:r w:rsidRPr="00424D5D">
        <w:rPr>
          <w:bCs/>
          <w:sz w:val="22"/>
          <w:szCs w:val="22"/>
          <w:lang w:val="en-GB"/>
        </w:rPr>
        <w:t>Table 2 Essential criteria for the provision of nutrients for hospitalised children and adults</w:t>
      </w: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171"/>
        <w:gridCol w:w="1968"/>
        <w:gridCol w:w="1798"/>
        <w:gridCol w:w="1585"/>
      </w:tblGrid>
      <w:tr w:rsidR="00291B98" w:rsidRPr="00E01731" w:rsidTr="00E01731">
        <w:tc>
          <w:tcPr>
            <w:tcW w:w="0" w:type="auto"/>
            <w:tcBorders>
              <w:top w:val="single" w:sz="8" w:space="0" w:color="4F81BD"/>
              <w:left w:val="single" w:sz="8" w:space="0" w:color="4F81BD"/>
              <w:bottom w:val="single" w:sz="8" w:space="0" w:color="4F81BD"/>
              <w:right w:val="single" w:sz="8" w:space="0" w:color="4F81BD"/>
            </w:tcBorders>
            <w:shd w:val="clear" w:color="auto" w:fill="4F81BD"/>
          </w:tcPr>
          <w:p w:rsidR="00291B98" w:rsidRPr="00E01731" w:rsidRDefault="00291B98" w:rsidP="00E01731">
            <w:pPr>
              <w:spacing w:before="100" w:beforeAutospacing="1" w:after="100" w:afterAutospacing="1"/>
              <w:jc w:val="center"/>
              <w:rPr>
                <w:b/>
                <w:bCs/>
                <w:color w:val="FFFFFF"/>
                <w:sz w:val="22"/>
                <w:szCs w:val="22"/>
                <w:lang w:val="en-GB"/>
              </w:rPr>
            </w:pPr>
            <w:r w:rsidRPr="00E01731">
              <w:rPr>
                <w:b/>
                <w:bCs/>
                <w:color w:val="FFFFFF"/>
                <w:sz w:val="22"/>
                <w:szCs w:val="22"/>
                <w:lang w:val="en-GB"/>
              </w:rPr>
              <w:t>Nutrient (/ day)</w:t>
            </w:r>
          </w:p>
        </w:tc>
        <w:tc>
          <w:tcPr>
            <w:tcW w:w="0" w:type="auto"/>
            <w:tcBorders>
              <w:top w:val="single" w:sz="8" w:space="0" w:color="4F81BD"/>
              <w:bottom w:val="single" w:sz="8" w:space="0" w:color="4F81BD"/>
            </w:tcBorders>
            <w:shd w:val="clear" w:color="auto" w:fill="4F81BD"/>
          </w:tcPr>
          <w:p w:rsidR="00291B98" w:rsidRPr="00E01731" w:rsidRDefault="00291B98" w:rsidP="00E01731">
            <w:pPr>
              <w:spacing w:before="100" w:beforeAutospacing="1" w:after="100" w:afterAutospacing="1"/>
              <w:jc w:val="center"/>
              <w:rPr>
                <w:b/>
                <w:bCs/>
                <w:color w:val="FFFFFF"/>
                <w:sz w:val="22"/>
                <w:szCs w:val="22"/>
                <w:lang w:val="en-GB"/>
              </w:rPr>
            </w:pPr>
            <w:r w:rsidRPr="00E01731">
              <w:rPr>
                <w:b/>
                <w:bCs/>
                <w:color w:val="FFFFFF"/>
                <w:sz w:val="22"/>
                <w:szCs w:val="22"/>
                <w:lang w:val="en-GB"/>
              </w:rPr>
              <w:t xml:space="preserve">'Nutritionally vulnerable' </w:t>
            </w:r>
            <w:r w:rsidRPr="00E01731">
              <w:rPr>
                <w:b/>
                <w:bCs/>
                <w:color w:val="FFFFFF"/>
                <w:sz w:val="22"/>
                <w:szCs w:val="22"/>
                <w:lang w:val="en-GB"/>
              </w:rPr>
              <w:br/>
              <w:t>patients</w:t>
            </w:r>
          </w:p>
        </w:tc>
        <w:tc>
          <w:tcPr>
            <w:tcW w:w="0" w:type="auto"/>
            <w:tcBorders>
              <w:top w:val="single" w:sz="8" w:space="0" w:color="4F81BD"/>
              <w:left w:val="single" w:sz="8" w:space="0" w:color="4F81BD"/>
              <w:bottom w:val="single" w:sz="8" w:space="0" w:color="4F81BD"/>
              <w:right w:val="single" w:sz="8" w:space="0" w:color="4F81BD"/>
            </w:tcBorders>
            <w:shd w:val="clear" w:color="auto" w:fill="4F81BD"/>
          </w:tcPr>
          <w:p w:rsidR="00291B98" w:rsidRPr="00E01731" w:rsidRDefault="00291B98" w:rsidP="00E01731">
            <w:pPr>
              <w:spacing w:before="100" w:beforeAutospacing="1" w:after="100" w:afterAutospacing="1"/>
              <w:jc w:val="center"/>
              <w:rPr>
                <w:b/>
                <w:bCs/>
                <w:color w:val="FFFFFF"/>
                <w:sz w:val="22"/>
                <w:szCs w:val="22"/>
                <w:lang w:val="en-GB"/>
              </w:rPr>
            </w:pPr>
            <w:r w:rsidRPr="00E01731">
              <w:rPr>
                <w:b/>
                <w:bCs/>
                <w:color w:val="FFFFFF"/>
                <w:sz w:val="22"/>
                <w:szCs w:val="22"/>
                <w:lang w:val="en-GB"/>
              </w:rPr>
              <w:t xml:space="preserve">'Nutritionally well' </w:t>
            </w:r>
            <w:r w:rsidRPr="00E01731">
              <w:rPr>
                <w:b/>
                <w:bCs/>
                <w:color w:val="FFFFFF"/>
                <w:sz w:val="22"/>
                <w:szCs w:val="22"/>
                <w:lang w:val="en-GB"/>
              </w:rPr>
              <w:br/>
              <w:t>patients ( DRVs)</w:t>
            </w:r>
          </w:p>
        </w:tc>
        <w:tc>
          <w:tcPr>
            <w:tcW w:w="0" w:type="auto"/>
            <w:tcBorders>
              <w:top w:val="single" w:sz="8" w:space="0" w:color="4F81BD"/>
              <w:bottom w:val="single" w:sz="8" w:space="0" w:color="4F81BD"/>
              <w:right w:val="single" w:sz="8" w:space="0" w:color="4F81BD"/>
            </w:tcBorders>
            <w:shd w:val="clear" w:color="auto" w:fill="4F81BD"/>
          </w:tcPr>
          <w:p w:rsidR="00291B98" w:rsidRPr="00E01731" w:rsidRDefault="00291B98" w:rsidP="00E01731">
            <w:pPr>
              <w:spacing w:before="100" w:beforeAutospacing="1" w:after="100" w:afterAutospacing="1"/>
              <w:jc w:val="center"/>
              <w:rPr>
                <w:b/>
                <w:bCs/>
                <w:color w:val="FFFFFF"/>
                <w:sz w:val="22"/>
                <w:szCs w:val="22"/>
                <w:lang w:val="en-GB"/>
              </w:rPr>
            </w:pPr>
            <w:r w:rsidRPr="00E01731">
              <w:rPr>
                <w:b/>
                <w:bCs/>
                <w:color w:val="FFFFFF"/>
                <w:sz w:val="22"/>
                <w:szCs w:val="22"/>
                <w:lang w:val="en-GB"/>
              </w:rPr>
              <w:t>Provided</w:t>
            </w:r>
          </w:p>
        </w:tc>
      </w:tr>
      <w:tr w:rsidR="00291B98" w:rsidRPr="00E01731" w:rsidTr="00E01731">
        <w:tc>
          <w:tcPr>
            <w:tcW w:w="0" w:type="auto"/>
            <w:vMerge w:val="restart"/>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Energy (kcal)</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Adults 2250 - 2625 </w:t>
            </w:r>
            <w:r w:rsidRPr="00E01731">
              <w:rPr>
                <w:sz w:val="22"/>
                <w:szCs w:val="22"/>
                <w:vertAlign w:val="superscript"/>
                <w:lang w:val="en-GB"/>
              </w:rPr>
              <w:t>1b</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Adults 1800 -2550 </w:t>
            </w:r>
            <w:r w:rsidRPr="00E01731">
              <w:rPr>
                <w:sz w:val="22"/>
                <w:szCs w:val="22"/>
                <w:vertAlign w:val="superscript"/>
                <w:lang w:val="en-GB"/>
              </w:rPr>
              <w:t>1a</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vMerge/>
            <w:tcBorders>
              <w:top w:val="single" w:sz="8" w:space="0" w:color="4F81BD"/>
              <w:left w:val="single" w:sz="8" w:space="0" w:color="4F81BD"/>
              <w:bottom w:val="single" w:sz="8" w:space="0" w:color="4F81BD"/>
              <w:right w:val="single" w:sz="8" w:space="0" w:color="4F81BD"/>
            </w:tcBorders>
          </w:tcPr>
          <w:p w:rsidR="00291B98" w:rsidRPr="00E01731" w:rsidRDefault="00291B98" w:rsidP="0007797A">
            <w:pPr>
              <w:rPr>
                <w:b/>
                <w:bCs/>
                <w:sz w:val="22"/>
                <w:szCs w:val="22"/>
                <w:lang w:val="en-GB"/>
              </w:rPr>
            </w:pPr>
          </w:p>
        </w:tc>
        <w:tc>
          <w:tcPr>
            <w:tcW w:w="0" w:type="auto"/>
            <w:tcBorders>
              <w:top w:val="single" w:sz="8" w:space="0" w:color="4F81BD"/>
              <w:bottom w:val="single" w:sz="8" w:space="0" w:color="4F81BD"/>
            </w:tcBorders>
          </w:tcPr>
          <w:p w:rsidR="00291B98" w:rsidRPr="00E01731" w:rsidRDefault="00291B98" w:rsidP="0007797A">
            <w:pPr>
              <w:rPr>
                <w:sz w:val="22"/>
                <w:szCs w:val="22"/>
                <w:lang w:val="en-GB"/>
              </w:rPr>
            </w:pP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Children 1200 - 2750</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Protein (g)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60 - 75 </w:t>
            </w:r>
            <w:r w:rsidRPr="00E01731">
              <w:rPr>
                <w:sz w:val="22"/>
                <w:szCs w:val="22"/>
                <w:vertAlign w:val="superscript"/>
                <w:lang w:val="en-GB"/>
              </w:rPr>
              <w:t>3</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56 </w:t>
            </w:r>
            <w:r w:rsidRPr="00E01731">
              <w:rPr>
                <w:sz w:val="22"/>
                <w:szCs w:val="22"/>
                <w:vertAlign w:val="superscript"/>
                <w:lang w:val="en-GB"/>
              </w:rPr>
              <w:t>2</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Total fat (% food energy)</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Not specified</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35</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Saturated fat (% food energy)</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Not specified</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11</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Carbohydrate (% food energy)</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Not specified</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50</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Non-milk extrinsic sugars ( NMES) (% food energy)</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Not specified</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10</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Non-starch polysaccharides (g)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12-18 </w:t>
            </w:r>
            <w:r w:rsidRPr="00E01731">
              <w:rPr>
                <w:sz w:val="22"/>
                <w:szCs w:val="22"/>
                <w:vertAlign w:val="superscript"/>
                <w:lang w:val="en-GB"/>
              </w:rPr>
              <w:t>4</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18 </w:t>
            </w:r>
            <w:r w:rsidRPr="00E01731">
              <w:rPr>
                <w:sz w:val="22"/>
                <w:szCs w:val="22"/>
                <w:vertAlign w:val="superscript"/>
                <w:lang w:val="en-GB"/>
              </w:rPr>
              <w:t>4</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Sodium (mg)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&lt; 2400 </w:t>
            </w:r>
            <w:r w:rsidRPr="00E01731">
              <w:rPr>
                <w:sz w:val="22"/>
                <w:szCs w:val="22"/>
                <w:vertAlign w:val="superscript"/>
                <w:lang w:val="en-GB"/>
              </w:rPr>
              <w:t>5</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&lt; 2400 </w:t>
            </w:r>
            <w:r w:rsidRPr="00E01731">
              <w:rPr>
                <w:sz w:val="22"/>
                <w:szCs w:val="22"/>
                <w:vertAlign w:val="superscript"/>
                <w:lang w:val="en-GB"/>
              </w:rPr>
              <w:t>5</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Salt equivalents (g)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&lt; 6 </w:t>
            </w:r>
            <w:r w:rsidRPr="00E01731">
              <w:rPr>
                <w:sz w:val="22"/>
                <w:szCs w:val="22"/>
                <w:vertAlign w:val="superscript"/>
                <w:lang w:val="en-GB"/>
              </w:rPr>
              <w:t>5</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&lt; 6 </w:t>
            </w:r>
            <w:r w:rsidRPr="00E01731">
              <w:rPr>
                <w:sz w:val="22"/>
                <w:szCs w:val="22"/>
                <w:vertAlign w:val="superscript"/>
                <w:lang w:val="en-GB"/>
              </w:rPr>
              <w:t>5</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Vitamin A (µg)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700 </w:t>
            </w:r>
            <w:r w:rsidRPr="00E01731">
              <w:rPr>
                <w:sz w:val="22"/>
                <w:szCs w:val="22"/>
                <w:vertAlign w:val="superscript"/>
                <w:lang w:val="en-GB"/>
              </w:rPr>
              <w:t>6</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700 </w:t>
            </w:r>
            <w:r w:rsidRPr="00E01731">
              <w:rPr>
                <w:sz w:val="22"/>
                <w:szCs w:val="22"/>
                <w:vertAlign w:val="superscript"/>
                <w:lang w:val="en-GB"/>
              </w:rPr>
              <w:t>6</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Vitamin D (µg)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10 </w:t>
            </w:r>
            <w:r w:rsidRPr="00E01731">
              <w:rPr>
                <w:sz w:val="22"/>
                <w:szCs w:val="22"/>
                <w:vertAlign w:val="superscript"/>
                <w:lang w:val="en-GB"/>
              </w:rPr>
              <w:t>7</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10 </w:t>
            </w:r>
            <w:r w:rsidRPr="00E01731">
              <w:rPr>
                <w:sz w:val="22"/>
                <w:szCs w:val="22"/>
                <w:vertAlign w:val="superscript"/>
                <w:lang w:val="en-GB"/>
              </w:rPr>
              <w:t>7</w:t>
            </w:r>
          </w:p>
        </w:tc>
        <w:tc>
          <w:tcPr>
            <w:tcW w:w="0" w:type="auto"/>
            <w:tcBorders>
              <w:top w:val="single" w:sz="8" w:space="0" w:color="4F81BD"/>
              <w:bottom w:val="single" w:sz="8" w:space="0" w:color="4F81BD"/>
              <w:right w:val="single" w:sz="8" w:space="0" w:color="4F81BD"/>
            </w:tcBorders>
          </w:tcPr>
          <w:p w:rsidR="00291B98" w:rsidRPr="00E01731" w:rsidRDefault="00291B98" w:rsidP="0007797A">
            <w:pPr>
              <w:rPr>
                <w:sz w:val="22"/>
                <w:szCs w:val="22"/>
                <w:lang w:val="en-GB"/>
              </w:rPr>
            </w:pP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Calcium (mg)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700</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700</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Potassium (mg)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3500 </w:t>
            </w:r>
            <w:r w:rsidRPr="00E01731">
              <w:rPr>
                <w:sz w:val="22"/>
                <w:szCs w:val="22"/>
                <w:vertAlign w:val="superscript"/>
                <w:lang w:val="en-GB"/>
              </w:rPr>
              <w:t>6</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3500 </w:t>
            </w:r>
            <w:r w:rsidRPr="00E01731">
              <w:rPr>
                <w:sz w:val="22"/>
                <w:szCs w:val="22"/>
                <w:vertAlign w:val="superscript"/>
                <w:lang w:val="en-GB"/>
              </w:rPr>
              <w:t>6</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Magnesium (mg)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300 </w:t>
            </w:r>
            <w:r w:rsidRPr="00E01731">
              <w:rPr>
                <w:sz w:val="22"/>
                <w:szCs w:val="22"/>
                <w:vertAlign w:val="superscript"/>
                <w:lang w:val="en-GB"/>
              </w:rPr>
              <w:t>6</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300 </w:t>
            </w:r>
            <w:r w:rsidRPr="00E01731">
              <w:rPr>
                <w:sz w:val="22"/>
                <w:szCs w:val="22"/>
                <w:vertAlign w:val="superscript"/>
                <w:lang w:val="en-GB"/>
              </w:rPr>
              <w:t>6</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Iron (mg)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 14.8 </w:t>
            </w:r>
            <w:r w:rsidRPr="00E01731">
              <w:rPr>
                <w:sz w:val="22"/>
                <w:szCs w:val="22"/>
                <w:vertAlign w:val="superscript"/>
                <w:lang w:val="en-GB"/>
              </w:rPr>
              <w:t>8</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xml:space="preserve">= 14.8 </w:t>
            </w:r>
            <w:r w:rsidRPr="00E01731">
              <w:rPr>
                <w:sz w:val="22"/>
                <w:szCs w:val="22"/>
                <w:vertAlign w:val="superscript"/>
                <w:lang w:val="en-GB"/>
              </w:rPr>
              <w:t>8</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Vitamin B12 (µg)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1.5</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1.5</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Folate and Folic Acid (µg)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200</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200</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Vitamin C (mg)</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40</w:t>
            </w:r>
          </w:p>
        </w:tc>
        <w:tc>
          <w:tcPr>
            <w:tcW w:w="0" w:type="auto"/>
            <w:tcBorders>
              <w:left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40</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Zinc (mg)</w:t>
            </w:r>
          </w:p>
        </w:tc>
        <w:tc>
          <w:tcPr>
            <w:tcW w:w="0" w:type="auto"/>
            <w:tcBorders>
              <w:top w:val="single" w:sz="8" w:space="0" w:color="4F81BD"/>
              <w:bottom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9.5</w:t>
            </w:r>
          </w:p>
        </w:tc>
        <w:tc>
          <w:tcPr>
            <w:tcW w:w="0" w:type="auto"/>
            <w:tcBorders>
              <w:top w:val="single" w:sz="8" w:space="0" w:color="4F81BD"/>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9.5</w:t>
            </w:r>
          </w:p>
        </w:tc>
        <w:tc>
          <w:tcPr>
            <w:tcW w:w="0" w:type="auto"/>
            <w:tcBorders>
              <w:top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Averaged over a week</w:t>
            </w:r>
          </w:p>
        </w:tc>
      </w:tr>
      <w:tr w:rsidR="00291B98" w:rsidRPr="00E01731" w:rsidTr="00E01731">
        <w:tc>
          <w:tcPr>
            <w:tcW w:w="0" w:type="auto"/>
            <w:tcBorders>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jc w:val="center"/>
              <w:rPr>
                <w:b/>
                <w:bCs/>
                <w:sz w:val="22"/>
                <w:szCs w:val="22"/>
                <w:lang w:val="en-GB"/>
              </w:rPr>
            </w:pPr>
            <w:r w:rsidRPr="00E01731">
              <w:rPr>
                <w:b/>
                <w:bCs/>
                <w:sz w:val="22"/>
                <w:szCs w:val="22"/>
                <w:lang w:val="en-GB"/>
              </w:rPr>
              <w:t>Fluid (litres)</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1.5</w:t>
            </w:r>
          </w:p>
        </w:tc>
        <w:tc>
          <w:tcPr>
            <w:tcW w:w="0" w:type="auto"/>
            <w:tcBorders>
              <w:left w:val="single" w:sz="8" w:space="0" w:color="4F81BD"/>
              <w:bottom w:val="single" w:sz="8" w:space="0" w:color="4F81BD"/>
              <w:right w:val="single" w:sz="8" w:space="0" w:color="4F81BD"/>
            </w:tcBorders>
          </w:tcPr>
          <w:p w:rsidR="00291B98" w:rsidRPr="00E01731" w:rsidRDefault="00291B98" w:rsidP="00E01731">
            <w:pPr>
              <w:spacing w:before="100" w:beforeAutospacing="1" w:after="100" w:afterAutospacing="1"/>
              <w:rPr>
                <w:sz w:val="22"/>
                <w:szCs w:val="22"/>
                <w:lang w:val="en-GB"/>
              </w:rPr>
            </w:pPr>
            <w:r w:rsidRPr="00E01731">
              <w:rPr>
                <w:sz w:val="22"/>
                <w:szCs w:val="22"/>
                <w:lang w:val="en-GB"/>
              </w:rPr>
              <w:t>= 1.5</w:t>
            </w:r>
          </w:p>
        </w:tc>
        <w:tc>
          <w:tcPr>
            <w:tcW w:w="0" w:type="auto"/>
          </w:tcPr>
          <w:p w:rsidR="00291B98" w:rsidRPr="00E01731" w:rsidRDefault="00291B98" w:rsidP="00E01731">
            <w:pPr>
              <w:spacing w:before="100" w:beforeAutospacing="1" w:after="100" w:afterAutospacing="1"/>
              <w:rPr>
                <w:sz w:val="22"/>
                <w:szCs w:val="22"/>
                <w:lang w:val="en-GB"/>
              </w:rPr>
            </w:pPr>
            <w:r w:rsidRPr="00E01731">
              <w:rPr>
                <w:sz w:val="22"/>
                <w:szCs w:val="22"/>
                <w:lang w:val="en-GB"/>
              </w:rPr>
              <w:t>Daily</w:t>
            </w:r>
          </w:p>
        </w:tc>
      </w:tr>
    </w:tbl>
    <w:p w:rsidR="00291B98" w:rsidRPr="00424D5D" w:rsidRDefault="00291B98" w:rsidP="00291B98">
      <w:pPr>
        <w:spacing w:before="100" w:beforeAutospacing="1" w:after="100" w:afterAutospacing="1"/>
        <w:rPr>
          <w:sz w:val="20"/>
          <w:lang w:val="en-GB"/>
        </w:rPr>
      </w:pPr>
      <w:r w:rsidRPr="00424D5D">
        <w:rPr>
          <w:sz w:val="20"/>
          <w:lang w:val="en-GB"/>
        </w:rPr>
        <w:t xml:space="preserve">1a Estimated Average Requirement </w:t>
      </w:r>
      <w:proofErr w:type="gramStart"/>
      <w:r w:rsidRPr="00424D5D">
        <w:rPr>
          <w:sz w:val="20"/>
          <w:lang w:val="en-GB"/>
        </w:rPr>
        <w:t>( EAR</w:t>
      </w:r>
      <w:proofErr w:type="gramEnd"/>
      <w:r w:rsidRPr="00424D5D">
        <w:rPr>
          <w:sz w:val="20"/>
          <w:lang w:val="en-GB"/>
        </w:rPr>
        <w:t xml:space="preserve">) for males and females 19+ years. </w:t>
      </w:r>
      <w:hyperlink r:id="rId8" w:history="1">
        <w:r w:rsidRPr="00424D5D">
          <w:rPr>
            <w:color w:val="0000FF"/>
            <w:sz w:val="20"/>
            <w:u w:val="single"/>
            <w:vertAlign w:val="superscript"/>
            <w:lang w:val="en-GB"/>
          </w:rPr>
          <w:t>11</w:t>
        </w:r>
      </w:hyperlink>
      <w:r w:rsidRPr="00424D5D">
        <w:rPr>
          <w:sz w:val="20"/>
          <w:vertAlign w:val="superscript"/>
          <w:lang w:val="en-GB"/>
        </w:rPr>
        <w:br/>
      </w:r>
      <w:r w:rsidRPr="00424D5D">
        <w:rPr>
          <w:sz w:val="20"/>
          <w:lang w:val="en-GB"/>
        </w:rPr>
        <w:t xml:space="preserve">1b BAPEN recommendations for the energy requirements for the 'unwell' hospital patient are 1.3 to 1.5 times resting energy </w:t>
      </w:r>
      <w:proofErr w:type="gramStart"/>
      <w:r w:rsidRPr="00424D5D">
        <w:rPr>
          <w:sz w:val="20"/>
          <w:lang w:val="en-GB"/>
        </w:rPr>
        <w:t>expenditure, that</w:t>
      </w:r>
      <w:proofErr w:type="gramEnd"/>
      <w:r w:rsidRPr="00424D5D">
        <w:rPr>
          <w:sz w:val="20"/>
          <w:lang w:val="en-GB"/>
        </w:rPr>
        <w:t xml:space="preserve"> equates to approximately 30-35kcal/kg/day (1800 - 2200kcal/day for a 60kg individual; 2250 - 2625 for 75kg individual). </w:t>
      </w:r>
      <w:hyperlink r:id="rId9" w:history="1">
        <w:r w:rsidRPr="00424D5D">
          <w:rPr>
            <w:color w:val="0000FF"/>
            <w:sz w:val="20"/>
            <w:u w:val="single"/>
            <w:vertAlign w:val="superscript"/>
            <w:lang w:val="en-GB"/>
          </w:rPr>
          <w:t>31</w:t>
        </w:r>
      </w:hyperlink>
      <w:r w:rsidRPr="00424D5D">
        <w:rPr>
          <w:sz w:val="20"/>
          <w:lang w:val="en-GB"/>
        </w:rPr>
        <w:t xml:space="preserve"> Recommendations are based on reference weights used for DRVs. </w:t>
      </w:r>
      <w:hyperlink r:id="rId10" w:history="1">
        <w:r w:rsidRPr="00424D5D">
          <w:rPr>
            <w:color w:val="0000FF"/>
            <w:sz w:val="20"/>
            <w:u w:val="single"/>
            <w:vertAlign w:val="superscript"/>
            <w:lang w:val="en-GB"/>
          </w:rPr>
          <w:t>11</w:t>
        </w:r>
      </w:hyperlink>
      <w:r w:rsidRPr="00424D5D">
        <w:rPr>
          <w:sz w:val="20"/>
          <w:lang w:val="en-GB"/>
        </w:rPr>
        <w:br/>
      </w:r>
      <w:r w:rsidRPr="00424D5D">
        <w:rPr>
          <w:sz w:val="20"/>
          <w:lang w:val="en-GB"/>
        </w:rPr>
        <w:lastRenderedPageBreak/>
        <w:t xml:space="preserve">2 Age group RNIs should be used for children and to provide for the increased requirements of pregnant and lactating females. </w:t>
      </w:r>
      <w:hyperlink r:id="rId11" w:history="1">
        <w:r w:rsidRPr="00424D5D">
          <w:rPr>
            <w:color w:val="0000FF"/>
            <w:sz w:val="20"/>
            <w:u w:val="single"/>
            <w:vertAlign w:val="superscript"/>
            <w:lang w:val="en-GB"/>
          </w:rPr>
          <w:t>11</w:t>
        </w:r>
      </w:hyperlink>
      <w:r w:rsidRPr="00424D5D">
        <w:rPr>
          <w:sz w:val="20"/>
          <w:lang w:val="en-GB"/>
        </w:rPr>
        <w:br/>
        <w:t xml:space="preserve">3 BAPEN recommendations for protein requirements for the 'unwell' or 'nutritionally vulnerable' hospital patient are 1g/kg/day. </w:t>
      </w:r>
      <w:hyperlink r:id="rId12" w:history="1">
        <w:r w:rsidRPr="00424D5D">
          <w:rPr>
            <w:color w:val="0000FF"/>
            <w:sz w:val="20"/>
            <w:u w:val="single"/>
            <w:vertAlign w:val="superscript"/>
            <w:lang w:val="en-GB"/>
          </w:rPr>
          <w:t>31</w:t>
        </w:r>
      </w:hyperlink>
      <w:r w:rsidRPr="00424D5D">
        <w:rPr>
          <w:sz w:val="20"/>
          <w:lang w:val="en-GB"/>
        </w:rPr>
        <w:t xml:space="preserve"> Recommendations are based on reference weights used for DRVs. </w:t>
      </w:r>
      <w:hyperlink r:id="rId13" w:history="1">
        <w:r w:rsidRPr="00424D5D">
          <w:rPr>
            <w:color w:val="0000FF"/>
            <w:sz w:val="20"/>
            <w:u w:val="single"/>
            <w:vertAlign w:val="superscript"/>
            <w:lang w:val="en-GB"/>
          </w:rPr>
          <w:t>11</w:t>
        </w:r>
      </w:hyperlink>
      <w:r w:rsidRPr="00424D5D">
        <w:rPr>
          <w:sz w:val="20"/>
          <w:lang w:val="en-GB"/>
        </w:rPr>
        <w:t xml:space="preserve"> This intake must be accompanied by an adequate energy intake if optimal protein utilisation is to be achieved. </w:t>
      </w:r>
      <w:hyperlink r:id="rId14" w:history="1">
        <w:r w:rsidRPr="00424D5D">
          <w:rPr>
            <w:color w:val="0000FF"/>
            <w:sz w:val="20"/>
            <w:u w:val="single"/>
            <w:vertAlign w:val="superscript"/>
            <w:lang w:val="en-GB"/>
          </w:rPr>
          <w:t>31</w:t>
        </w:r>
      </w:hyperlink>
      <w:r w:rsidRPr="00424D5D">
        <w:rPr>
          <w:sz w:val="20"/>
          <w:lang w:val="en-GB"/>
        </w:rPr>
        <w:t xml:space="preserve"> Those patients with altered metabolic state should be identified by screening procedures and referred for dietetic assessment. </w:t>
      </w:r>
      <w:r w:rsidRPr="00424D5D">
        <w:rPr>
          <w:sz w:val="20"/>
          <w:lang w:val="en-GB"/>
        </w:rPr>
        <w:br/>
      </w:r>
      <w:proofErr w:type="gramStart"/>
      <w:r w:rsidRPr="00424D5D">
        <w:rPr>
          <w:sz w:val="20"/>
          <w:lang w:val="en-GB"/>
        </w:rPr>
        <w:t>4 Applicable to individuals &gt; 5 years old.</w:t>
      </w:r>
      <w:proofErr w:type="gramEnd"/>
      <w:r w:rsidRPr="00424D5D">
        <w:rPr>
          <w:sz w:val="20"/>
          <w:lang w:val="en-GB"/>
        </w:rPr>
        <w:t xml:space="preserve"> </w:t>
      </w:r>
      <w:hyperlink r:id="rId15" w:history="1">
        <w:r w:rsidRPr="00424D5D">
          <w:rPr>
            <w:color w:val="0000FF"/>
            <w:sz w:val="20"/>
            <w:u w:val="single"/>
            <w:vertAlign w:val="superscript"/>
            <w:lang w:val="en-GB"/>
          </w:rPr>
          <w:t>11</w:t>
        </w:r>
      </w:hyperlink>
      <w:r w:rsidRPr="00424D5D">
        <w:rPr>
          <w:sz w:val="20"/>
          <w:lang w:val="en-GB"/>
        </w:rPr>
        <w:t xml:space="preserve"> Diets of well adults should contain 18g/day; with a range 12-24g depending on individual circumstances. </w:t>
      </w:r>
      <w:hyperlink r:id="rId16" w:history="1">
        <w:r w:rsidRPr="00424D5D">
          <w:rPr>
            <w:color w:val="0000FF"/>
            <w:sz w:val="20"/>
            <w:u w:val="single"/>
            <w:vertAlign w:val="superscript"/>
            <w:lang w:val="en-GB"/>
          </w:rPr>
          <w:t>11</w:t>
        </w:r>
      </w:hyperlink>
      <w:r w:rsidRPr="00424D5D">
        <w:rPr>
          <w:sz w:val="20"/>
          <w:vertAlign w:val="superscript"/>
          <w:lang w:val="en-GB"/>
        </w:rPr>
        <w:t xml:space="preserve">, </w:t>
      </w:r>
      <w:hyperlink r:id="rId17" w:history="1">
        <w:r w:rsidRPr="00424D5D">
          <w:rPr>
            <w:color w:val="0000FF"/>
            <w:sz w:val="20"/>
            <w:u w:val="single"/>
            <w:vertAlign w:val="superscript"/>
            <w:lang w:val="en-GB"/>
          </w:rPr>
          <w:t>32</w:t>
        </w:r>
      </w:hyperlink>
      <w:r w:rsidRPr="00424D5D">
        <w:rPr>
          <w:sz w:val="20"/>
          <w:lang w:val="en-GB"/>
        </w:rPr>
        <w:br/>
        <w:t xml:space="preserve">5 Age-specific recommendations: 1-3 years = 2g salt/day (0.8g sodium); 4-6 years = 3g salt/day (1.2g sodium); 7-10 years = 5g salt/day (2.0g sodium); 11+ years = 6g salt/day (2.4g sodium). </w:t>
      </w:r>
      <w:hyperlink r:id="rId18" w:history="1">
        <w:r w:rsidRPr="00424D5D">
          <w:rPr>
            <w:color w:val="0000FF"/>
            <w:sz w:val="20"/>
            <w:u w:val="single"/>
            <w:vertAlign w:val="superscript"/>
            <w:lang w:val="en-GB"/>
          </w:rPr>
          <w:t>33</w:t>
        </w:r>
      </w:hyperlink>
      <w:r w:rsidRPr="00424D5D">
        <w:rPr>
          <w:sz w:val="20"/>
          <w:lang w:val="en-GB"/>
        </w:rPr>
        <w:br/>
        <w:t xml:space="preserve">6 Age group RNIs should be used for children. </w:t>
      </w:r>
      <w:hyperlink r:id="rId19" w:history="1">
        <w:r w:rsidRPr="00424D5D">
          <w:rPr>
            <w:color w:val="0000FF"/>
            <w:sz w:val="20"/>
            <w:u w:val="single"/>
            <w:vertAlign w:val="superscript"/>
            <w:lang w:val="en-GB"/>
          </w:rPr>
          <w:t>11</w:t>
        </w:r>
      </w:hyperlink>
      <w:r w:rsidRPr="00424D5D">
        <w:rPr>
          <w:sz w:val="20"/>
          <w:lang w:val="en-GB"/>
        </w:rPr>
        <w:br/>
        <w:t xml:space="preserve">7 </w:t>
      </w:r>
      <w:proofErr w:type="gramStart"/>
      <w:r w:rsidRPr="00424D5D">
        <w:rPr>
          <w:sz w:val="20"/>
          <w:lang w:val="en-GB"/>
        </w:rPr>
        <w:t>The</w:t>
      </w:r>
      <w:proofErr w:type="gramEnd"/>
      <w:r w:rsidRPr="00424D5D">
        <w:rPr>
          <w:sz w:val="20"/>
          <w:lang w:val="en-GB"/>
        </w:rPr>
        <w:t xml:space="preserve"> provision of food that will provide &gt;10 µg/day vitamin D is difficult. Individual patients may still require additional supplementation, especially elderly patients and those who are in long-stay care and are house/hospital bound. </w:t>
      </w:r>
      <w:hyperlink r:id="rId20" w:history="1">
        <w:r w:rsidRPr="00424D5D">
          <w:rPr>
            <w:color w:val="0000FF"/>
            <w:sz w:val="20"/>
            <w:u w:val="single"/>
            <w:vertAlign w:val="superscript"/>
            <w:lang w:val="en-GB"/>
          </w:rPr>
          <w:t>11</w:t>
        </w:r>
      </w:hyperlink>
      <w:r w:rsidRPr="00424D5D">
        <w:rPr>
          <w:sz w:val="20"/>
          <w:lang w:val="en-GB"/>
        </w:rPr>
        <w:br/>
        <w:t>8 When catering solely for older adults, use RNI for individuals 50+ years (9mg/day).</w:t>
      </w:r>
    </w:p>
    <w:p w:rsidR="00291B98" w:rsidRDefault="00291B98" w:rsidP="00291B98">
      <w:pPr>
        <w:spacing w:before="100" w:beforeAutospacing="1" w:after="100" w:afterAutospacing="1"/>
        <w:outlineLvl w:val="2"/>
        <w:rPr>
          <w:b/>
          <w:bCs/>
          <w:sz w:val="22"/>
          <w:szCs w:val="22"/>
          <w:lang w:val="en-GB"/>
        </w:rPr>
      </w:pPr>
    </w:p>
    <w:p w:rsidR="00291B98" w:rsidRPr="00424D5D" w:rsidRDefault="00291B98" w:rsidP="00291B98">
      <w:pPr>
        <w:spacing w:before="100" w:beforeAutospacing="1" w:after="100" w:afterAutospacing="1"/>
        <w:outlineLvl w:val="2"/>
        <w:rPr>
          <w:b/>
          <w:bCs/>
          <w:sz w:val="22"/>
          <w:szCs w:val="22"/>
          <w:lang w:val="en-GB"/>
        </w:rPr>
      </w:pPr>
      <w:r w:rsidRPr="00424D5D">
        <w:rPr>
          <w:b/>
          <w:bCs/>
          <w:sz w:val="22"/>
          <w:szCs w:val="22"/>
          <w:lang w:val="en-GB"/>
        </w:rPr>
        <w:t>Nutrient specification</w:t>
      </w:r>
    </w:p>
    <w:p w:rsidR="00291B98" w:rsidRPr="00424D5D" w:rsidRDefault="00291B98" w:rsidP="00291B98">
      <w:pPr>
        <w:spacing w:before="100" w:beforeAutospacing="1" w:after="100" w:afterAutospacing="1"/>
        <w:rPr>
          <w:sz w:val="22"/>
          <w:szCs w:val="22"/>
          <w:lang w:val="en-GB"/>
        </w:rPr>
      </w:pPr>
      <w:r w:rsidRPr="00424D5D">
        <w:rPr>
          <w:b/>
          <w:bCs/>
          <w:sz w:val="22"/>
          <w:szCs w:val="22"/>
          <w:lang w:val="en-GB"/>
        </w:rPr>
        <w:t>2.3.1 Nutritional requirements of hospital patients</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The Department of Health Committee on Medical Aspects of Food Policy </w:t>
      </w:r>
      <w:proofErr w:type="gramStart"/>
      <w:r w:rsidRPr="00424D5D">
        <w:rPr>
          <w:sz w:val="22"/>
          <w:szCs w:val="22"/>
          <w:lang w:val="en-GB"/>
        </w:rPr>
        <w:t>( COMA</w:t>
      </w:r>
      <w:proofErr w:type="gramEnd"/>
      <w:r w:rsidRPr="00424D5D">
        <w:rPr>
          <w:sz w:val="22"/>
          <w:szCs w:val="22"/>
          <w:lang w:val="en-GB"/>
        </w:rPr>
        <w:t xml:space="preserve">) in 1991 published Report on Health and Social Subjects number 41, Dietary Reference Values for Food Energy and Nutrients for the </w:t>
      </w:r>
      <w:smartTag w:uri="urn:schemas-microsoft-com:office:smarttags" w:element="place">
        <w:smartTag w:uri="urn:schemas-microsoft-com:office:smarttags" w:element="country-region">
          <w:r w:rsidRPr="00424D5D">
            <w:rPr>
              <w:sz w:val="22"/>
              <w:szCs w:val="22"/>
              <w:lang w:val="en-GB"/>
            </w:rPr>
            <w:t>United Kingdom</w:t>
          </w:r>
        </w:smartTag>
      </w:smartTag>
      <w:r w:rsidRPr="00424D5D">
        <w:rPr>
          <w:sz w:val="22"/>
          <w:szCs w:val="22"/>
          <w:lang w:val="en-GB"/>
        </w:rPr>
        <w:t xml:space="preserve">. </w:t>
      </w:r>
      <w:hyperlink r:id="rId21" w:history="1">
        <w:r w:rsidRPr="00424D5D">
          <w:rPr>
            <w:color w:val="0000FF"/>
            <w:sz w:val="22"/>
            <w:szCs w:val="22"/>
            <w:u w:val="single"/>
            <w:vertAlign w:val="superscript"/>
            <w:lang w:val="en-GB"/>
          </w:rPr>
          <w:t>11</w:t>
        </w:r>
      </w:hyperlink>
      <w:r w:rsidRPr="00424D5D">
        <w:rPr>
          <w:sz w:val="22"/>
          <w:szCs w:val="22"/>
          <w:lang w:val="en-GB"/>
        </w:rPr>
        <w:t xml:space="preserve"> This publication set out recommended Dietary Reference Values </w:t>
      </w:r>
      <w:proofErr w:type="gramStart"/>
      <w:r w:rsidRPr="00424D5D">
        <w:rPr>
          <w:sz w:val="22"/>
          <w:szCs w:val="22"/>
          <w:lang w:val="en-GB"/>
        </w:rPr>
        <w:t>( DRVs</w:t>
      </w:r>
      <w:proofErr w:type="gramEnd"/>
      <w:r w:rsidRPr="00424D5D">
        <w:rPr>
          <w:sz w:val="22"/>
          <w:szCs w:val="22"/>
          <w:lang w:val="en-GB"/>
        </w:rPr>
        <w:t xml:space="preserve">) - daily requirements for energy (calorie) intake and all other nutrients for all age groups ( </w:t>
      </w:r>
      <w:hyperlink r:id="rId22" w:history="1">
        <w:r w:rsidRPr="00424D5D">
          <w:rPr>
            <w:color w:val="0000FF"/>
            <w:sz w:val="22"/>
            <w:szCs w:val="22"/>
            <w:u w:val="single"/>
            <w:lang w:val="en-GB"/>
          </w:rPr>
          <w:t>Appendix two</w:t>
        </w:r>
      </w:hyperlink>
      <w:r w:rsidRPr="00424D5D">
        <w:rPr>
          <w:sz w:val="22"/>
          <w:szCs w:val="22"/>
          <w:lang w:val="en-GB"/>
        </w:rPr>
        <w:t xml:space="preserve">). The following terms relating to energy and nutrient intakes are used to define the needs of population groups of the </w:t>
      </w:r>
      <w:smartTag w:uri="urn:schemas-microsoft-com:office:smarttags" w:element="place">
        <w:smartTag w:uri="urn:schemas-microsoft-com:office:smarttags" w:element="country-region">
          <w:r w:rsidRPr="00424D5D">
            <w:rPr>
              <w:sz w:val="22"/>
              <w:szCs w:val="22"/>
              <w:lang w:val="en-GB"/>
            </w:rPr>
            <w:t>UK</w:t>
          </w:r>
        </w:smartTag>
      </w:smartTag>
      <w:r w:rsidRPr="00424D5D">
        <w:rPr>
          <w:sz w:val="22"/>
          <w:szCs w:val="22"/>
          <w:lang w:val="en-GB"/>
        </w:rPr>
        <w:t>:</w:t>
      </w:r>
    </w:p>
    <w:p w:rsidR="00291B98" w:rsidRPr="00424D5D" w:rsidRDefault="00291B98" w:rsidP="00291B98">
      <w:pPr>
        <w:numPr>
          <w:ilvl w:val="0"/>
          <w:numId w:val="4"/>
        </w:numPr>
        <w:spacing w:before="100" w:beforeAutospacing="1" w:after="100" w:afterAutospacing="1"/>
        <w:rPr>
          <w:sz w:val="22"/>
          <w:szCs w:val="22"/>
          <w:lang w:val="en-GB"/>
        </w:rPr>
      </w:pPr>
      <w:r w:rsidRPr="00424D5D">
        <w:rPr>
          <w:i/>
          <w:iCs/>
          <w:sz w:val="22"/>
          <w:szCs w:val="22"/>
          <w:lang w:val="en-GB"/>
        </w:rPr>
        <w:t>EAR (Estimated Average Requirement) - the amount of energy required each day by an average person in the specified age group, some people require more, and some less than this figure.</w:t>
      </w:r>
      <w:r w:rsidRPr="00424D5D">
        <w:rPr>
          <w:sz w:val="22"/>
          <w:szCs w:val="22"/>
          <w:lang w:val="en-GB"/>
        </w:rPr>
        <w:t xml:space="preserve"> </w:t>
      </w:r>
    </w:p>
    <w:p w:rsidR="00291B98" w:rsidRPr="00424D5D" w:rsidRDefault="00291B98" w:rsidP="00291B98">
      <w:pPr>
        <w:numPr>
          <w:ilvl w:val="0"/>
          <w:numId w:val="4"/>
        </w:numPr>
        <w:spacing w:before="100" w:beforeAutospacing="1" w:after="100" w:afterAutospacing="1"/>
        <w:rPr>
          <w:sz w:val="22"/>
          <w:szCs w:val="22"/>
          <w:lang w:val="en-GB"/>
        </w:rPr>
      </w:pPr>
      <w:r w:rsidRPr="00424D5D">
        <w:rPr>
          <w:i/>
          <w:iCs/>
          <w:sz w:val="22"/>
          <w:szCs w:val="22"/>
          <w:lang w:val="en-GB"/>
        </w:rPr>
        <w:t>RNI (Reference Nutrient Intake) - the amount of a nutrient estimated to meet the needs of the majority of the population.</w:t>
      </w:r>
      <w:r w:rsidRPr="00424D5D">
        <w:rPr>
          <w:sz w:val="22"/>
          <w:szCs w:val="22"/>
          <w:lang w:val="en-GB"/>
        </w:rPr>
        <w:t xml:space="preserve"> </w:t>
      </w:r>
    </w:p>
    <w:p w:rsidR="00291B98" w:rsidRPr="00424D5D" w:rsidRDefault="00291B98" w:rsidP="00291B98">
      <w:pPr>
        <w:numPr>
          <w:ilvl w:val="0"/>
          <w:numId w:val="4"/>
        </w:numPr>
        <w:spacing w:before="100" w:beforeAutospacing="1" w:after="100" w:afterAutospacing="1"/>
        <w:rPr>
          <w:sz w:val="22"/>
          <w:szCs w:val="22"/>
          <w:lang w:val="en-GB"/>
        </w:rPr>
      </w:pPr>
      <w:r w:rsidRPr="00424D5D">
        <w:rPr>
          <w:i/>
          <w:iCs/>
          <w:sz w:val="22"/>
          <w:szCs w:val="22"/>
          <w:lang w:val="en-GB"/>
        </w:rPr>
        <w:t>Safe Intake - some nutrients can be toxic in high amounts, safe levels of intake are recommended for these.</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The current document uses the DRVs and, in the case of salt, advice from the Scientific Advisory Committee on Nutrition ( SACN) as a </w:t>
      </w:r>
      <w:r w:rsidRPr="00424D5D">
        <w:rPr>
          <w:b/>
          <w:bCs/>
          <w:sz w:val="22"/>
          <w:szCs w:val="22"/>
          <w:lang w:val="en-GB"/>
        </w:rPr>
        <w:t>baseline guide</w:t>
      </w:r>
      <w:r w:rsidRPr="00424D5D">
        <w:rPr>
          <w:sz w:val="22"/>
          <w:szCs w:val="22"/>
          <w:lang w:val="en-GB"/>
        </w:rPr>
        <w:t xml:space="preserve"> for the nutrient specifications for the general hospital population. However, these recommendations were developed specifically for use with healthy groups of the population. </w:t>
      </w:r>
      <w:hyperlink r:id="rId23" w:history="1">
        <w:r w:rsidRPr="00424D5D">
          <w:rPr>
            <w:color w:val="0000FF"/>
            <w:sz w:val="22"/>
            <w:szCs w:val="22"/>
            <w:u w:val="single"/>
            <w:vertAlign w:val="superscript"/>
            <w:lang w:val="en-GB"/>
          </w:rPr>
          <w:t>30</w:t>
        </w:r>
      </w:hyperlink>
      <w:r w:rsidRPr="00424D5D">
        <w:rPr>
          <w:sz w:val="22"/>
          <w:szCs w:val="22"/>
          <w:lang w:val="en-GB"/>
        </w:rPr>
        <w:t xml:space="preserve"> The British Association of Parenteral and Enteral Nutrition </w:t>
      </w:r>
      <w:proofErr w:type="gramStart"/>
      <w:r w:rsidRPr="00424D5D">
        <w:rPr>
          <w:sz w:val="22"/>
          <w:szCs w:val="22"/>
          <w:lang w:val="en-GB"/>
        </w:rPr>
        <w:t>( BAPEN</w:t>
      </w:r>
      <w:proofErr w:type="gramEnd"/>
      <w:r w:rsidRPr="00424D5D">
        <w:rPr>
          <w:sz w:val="22"/>
          <w:szCs w:val="22"/>
          <w:lang w:val="en-GB"/>
        </w:rPr>
        <w:t xml:space="preserve">) have proposed amendments to the recommendations for energy and protein for the un-well hospital patient. </w:t>
      </w:r>
      <w:hyperlink r:id="rId24" w:history="1">
        <w:r w:rsidRPr="00424D5D">
          <w:rPr>
            <w:color w:val="0000FF"/>
            <w:sz w:val="22"/>
            <w:szCs w:val="22"/>
            <w:u w:val="single"/>
            <w:vertAlign w:val="superscript"/>
            <w:lang w:val="en-GB"/>
          </w:rPr>
          <w:t>31</w:t>
        </w:r>
      </w:hyperlink>
      <w:r w:rsidRPr="00424D5D">
        <w:rPr>
          <w:sz w:val="22"/>
          <w:szCs w:val="22"/>
          <w:lang w:val="en-GB"/>
        </w:rPr>
        <w:t xml:space="preserve"> The amendments to the DRVs for a hospital population and the rationale behind this are explained fully in </w:t>
      </w:r>
      <w:hyperlink r:id="rId25" w:history="1">
        <w:r w:rsidRPr="00424D5D">
          <w:rPr>
            <w:color w:val="0000FF"/>
            <w:sz w:val="22"/>
            <w:szCs w:val="22"/>
            <w:u w:val="single"/>
            <w:lang w:val="en-GB"/>
          </w:rPr>
          <w:t>Appendix three</w:t>
        </w:r>
      </w:hyperlink>
      <w:r w:rsidRPr="00424D5D">
        <w:rPr>
          <w:sz w:val="22"/>
          <w:szCs w:val="22"/>
          <w:lang w:val="en-GB"/>
        </w:rPr>
        <w:t xml:space="preserve">. The nutrient specifications in the current document endorse the recommendations provided by the British Dietetic Association document Delivering Nutrition Care through Food and Beverage Services </w:t>
      </w:r>
      <w:hyperlink r:id="rId26" w:history="1">
        <w:r w:rsidRPr="00424D5D">
          <w:rPr>
            <w:color w:val="0000FF"/>
            <w:sz w:val="22"/>
            <w:szCs w:val="22"/>
            <w:u w:val="single"/>
            <w:vertAlign w:val="superscript"/>
            <w:lang w:val="en-GB"/>
          </w:rPr>
          <w:t>4</w:t>
        </w:r>
      </w:hyperlink>
      <w:r w:rsidRPr="00424D5D">
        <w:rPr>
          <w:sz w:val="22"/>
          <w:szCs w:val="22"/>
          <w:lang w:val="en-GB"/>
        </w:rPr>
        <w:t xml:space="preserve"> and The British Association of Parenteral and Enteral Nutrition </w:t>
      </w:r>
      <w:proofErr w:type="gramStart"/>
      <w:r w:rsidRPr="00424D5D">
        <w:rPr>
          <w:sz w:val="22"/>
          <w:szCs w:val="22"/>
          <w:lang w:val="en-GB"/>
        </w:rPr>
        <w:t>( BAPEN</w:t>
      </w:r>
      <w:proofErr w:type="gramEnd"/>
      <w:r w:rsidRPr="00424D5D">
        <w:rPr>
          <w:sz w:val="22"/>
          <w:szCs w:val="22"/>
          <w:lang w:val="en-GB"/>
        </w:rPr>
        <w:t xml:space="preserve">) Hospital Food as Treatment report. </w:t>
      </w:r>
      <w:hyperlink r:id="rId27" w:history="1">
        <w:r w:rsidRPr="00424D5D">
          <w:rPr>
            <w:color w:val="0000FF"/>
            <w:sz w:val="22"/>
            <w:szCs w:val="22"/>
            <w:u w:val="single"/>
            <w:vertAlign w:val="superscript"/>
            <w:lang w:val="en-GB"/>
          </w:rPr>
          <w:t>31</w:t>
        </w:r>
      </w:hyperlink>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Using DRVs to plan the food provision in hospitals alongside nutritional screening procedures that have clear nutritional management guidelines to support those </w:t>
      </w:r>
      <w:r w:rsidRPr="00424D5D">
        <w:rPr>
          <w:sz w:val="22"/>
          <w:szCs w:val="22"/>
          <w:lang w:val="en-GB"/>
        </w:rPr>
        <w:lastRenderedPageBreak/>
        <w:t>individuals identified 'at-risk', should ensure that NHSQIS standard 3.2 can be achieved.</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It is </w:t>
      </w:r>
      <w:r w:rsidRPr="00424D5D">
        <w:rPr>
          <w:b/>
          <w:bCs/>
          <w:sz w:val="22"/>
          <w:szCs w:val="22"/>
          <w:lang w:val="en-GB"/>
        </w:rPr>
        <w:t>essential</w:t>
      </w:r>
      <w:r w:rsidRPr="00424D5D">
        <w:rPr>
          <w:sz w:val="22"/>
          <w:szCs w:val="22"/>
          <w:lang w:val="en-GB"/>
        </w:rPr>
        <w:t xml:space="preserve"> a hospital menu is capable of meeting the nutrient standards set out in table 2, as appropriate for the patient population it is catering for.</w:t>
      </w:r>
    </w:p>
    <w:p w:rsidR="00291B98" w:rsidRPr="00424D5D" w:rsidRDefault="00291B98" w:rsidP="00291B98">
      <w:pPr>
        <w:numPr>
          <w:ilvl w:val="0"/>
          <w:numId w:val="5"/>
        </w:numPr>
        <w:spacing w:before="100" w:beforeAutospacing="1" w:after="100" w:afterAutospacing="1"/>
        <w:rPr>
          <w:sz w:val="22"/>
          <w:szCs w:val="22"/>
          <w:lang w:val="en-GB"/>
        </w:rPr>
      </w:pPr>
      <w:r w:rsidRPr="00424D5D">
        <w:rPr>
          <w:b/>
          <w:bCs/>
          <w:sz w:val="22"/>
          <w:szCs w:val="22"/>
          <w:lang w:val="en-GB"/>
        </w:rPr>
        <w:t>Energy on a daily basis</w:t>
      </w:r>
      <w:r w:rsidRPr="00424D5D">
        <w:rPr>
          <w:sz w:val="22"/>
          <w:szCs w:val="22"/>
          <w:lang w:val="en-GB"/>
        </w:rPr>
        <w:t xml:space="preserve"> </w:t>
      </w:r>
    </w:p>
    <w:p w:rsidR="00291B98" w:rsidRPr="00424D5D" w:rsidRDefault="00291B98" w:rsidP="00291B98">
      <w:pPr>
        <w:numPr>
          <w:ilvl w:val="0"/>
          <w:numId w:val="5"/>
        </w:numPr>
        <w:spacing w:before="100" w:beforeAutospacing="1" w:after="100" w:afterAutospacing="1"/>
        <w:rPr>
          <w:sz w:val="22"/>
          <w:szCs w:val="22"/>
          <w:lang w:val="en-GB"/>
        </w:rPr>
      </w:pPr>
      <w:r w:rsidRPr="00424D5D">
        <w:rPr>
          <w:b/>
          <w:bCs/>
          <w:sz w:val="22"/>
          <w:szCs w:val="22"/>
          <w:lang w:val="en-GB"/>
        </w:rPr>
        <w:t>Protein on a daily basis</w:t>
      </w:r>
      <w:r w:rsidRPr="00424D5D">
        <w:rPr>
          <w:sz w:val="22"/>
          <w:szCs w:val="22"/>
          <w:lang w:val="en-GB"/>
        </w:rPr>
        <w:t xml:space="preserve"> </w:t>
      </w:r>
    </w:p>
    <w:p w:rsidR="00291B98" w:rsidRPr="00424D5D" w:rsidRDefault="00291B98" w:rsidP="00291B98">
      <w:pPr>
        <w:numPr>
          <w:ilvl w:val="0"/>
          <w:numId w:val="5"/>
        </w:numPr>
        <w:spacing w:before="100" w:beforeAutospacing="1" w:after="100" w:afterAutospacing="1"/>
        <w:rPr>
          <w:sz w:val="22"/>
          <w:szCs w:val="22"/>
          <w:lang w:val="en-GB"/>
        </w:rPr>
      </w:pPr>
      <w:r w:rsidRPr="00424D5D">
        <w:rPr>
          <w:b/>
          <w:bCs/>
          <w:sz w:val="22"/>
          <w:szCs w:val="22"/>
          <w:lang w:val="en-GB"/>
        </w:rPr>
        <w:t>RNI for micronutrients (vitamins and minerals) on a weekly basis</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This pragmatic approach allows menus to be planned with greater flexibility. It is unlikely that a free-living individual at home will meet the RNI for all nutrients on a daily basis, with most being met on average over a week.</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As noted, hospital menus must meet the nutritional requirements of diverse patient population groups. </w:t>
      </w:r>
      <w:hyperlink r:id="rId28" w:history="1">
        <w:r w:rsidRPr="00424D5D">
          <w:rPr>
            <w:color w:val="0000FF"/>
            <w:sz w:val="22"/>
            <w:szCs w:val="22"/>
            <w:u w:val="single"/>
            <w:vertAlign w:val="superscript"/>
            <w:lang w:val="en-GB"/>
          </w:rPr>
          <w:t>32</w:t>
        </w:r>
      </w:hyperlink>
      <w:r w:rsidRPr="00424D5D">
        <w:rPr>
          <w:sz w:val="22"/>
          <w:szCs w:val="22"/>
          <w:lang w:val="en-GB"/>
        </w:rPr>
        <w:t xml:space="preserve"> Two sets of nutrient standards have been specified in table 2; this is acknowledgement of the extremes of the core nutritional requirements in the hospital setting (outlined in section 2.2). One set of standards is applicable to the needs of 'nutritionally vulnerable' patients; those with poor appetites, poor food intakes, undernourished. The other set of nutrient standards is in line with the requirements of the healthy balanced diet and thus are applicable to the needs of those patients who are considered to be 'nutritionally well'. Provision of a menu that meets the nutritional requirements outlined for hospital patients, must also be a menu that provides </w:t>
      </w:r>
      <w:r w:rsidRPr="00424D5D">
        <w:rPr>
          <w:b/>
          <w:bCs/>
          <w:sz w:val="22"/>
          <w:szCs w:val="22"/>
          <w:lang w:val="en-GB"/>
        </w:rPr>
        <w:t>choices of dishes</w:t>
      </w:r>
      <w:r w:rsidRPr="00424D5D">
        <w:rPr>
          <w:sz w:val="22"/>
          <w:szCs w:val="22"/>
          <w:lang w:val="en-GB"/>
        </w:rPr>
        <w:t xml:space="preserve"> that tempt patients to eat, and which they will enjoy.</w:t>
      </w:r>
    </w:p>
    <w:p w:rsidR="00291B98" w:rsidRPr="00424D5D" w:rsidRDefault="00291B98" w:rsidP="00291B98">
      <w:pPr>
        <w:spacing w:before="100" w:beforeAutospacing="1" w:after="100" w:afterAutospacing="1"/>
        <w:rPr>
          <w:sz w:val="22"/>
          <w:szCs w:val="22"/>
          <w:lang w:val="en-GB"/>
        </w:rPr>
      </w:pPr>
      <w:r w:rsidRPr="00424D5D">
        <w:rPr>
          <w:b/>
          <w:bCs/>
          <w:sz w:val="22"/>
          <w:szCs w:val="22"/>
          <w:lang w:val="en-GB"/>
        </w:rPr>
        <w:t>2.3.2 Rationale for differences in nutrient standards set</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Many of the nutrient standards that have been set in table 2 are common to both 'nutritionally well' and 'nutritionally vulnerable' patients. A healthy eating style of service is inappropriate for the 'nutritionally vulnerable' patient. The DRV for fat (&lt;35% of total energy, and that for saturated fat &lt;11% of total energy) and also that set for carbohydrate (and non-milk-extrinsic sugars - NMES) have therefore not been included as core nutrient standards for this population group. Given the levels of malnutrition in the hospital setting and also the poor appetites and poor food intakes of many patients </w:t>
      </w:r>
      <w:hyperlink r:id="rId29" w:history="1">
        <w:r w:rsidRPr="00424D5D">
          <w:rPr>
            <w:color w:val="0000FF"/>
            <w:sz w:val="22"/>
            <w:szCs w:val="22"/>
            <w:u w:val="single"/>
            <w:vertAlign w:val="superscript"/>
            <w:lang w:val="en-GB"/>
          </w:rPr>
          <w:t>28</w:t>
        </w:r>
      </w:hyperlink>
      <w:r w:rsidRPr="00424D5D">
        <w:rPr>
          <w:sz w:val="22"/>
          <w:szCs w:val="22"/>
          <w:lang w:val="en-GB"/>
        </w:rPr>
        <w:t xml:space="preserve"> one of the key aims of the core foodservice should be to </w:t>
      </w:r>
      <w:r w:rsidRPr="00424D5D">
        <w:rPr>
          <w:b/>
          <w:bCs/>
          <w:sz w:val="22"/>
          <w:szCs w:val="22"/>
          <w:lang w:val="en-GB"/>
        </w:rPr>
        <w:t>provide food with concentrated energy and nutrients</w:t>
      </w:r>
      <w:r w:rsidRPr="00424D5D">
        <w:rPr>
          <w:sz w:val="22"/>
          <w:szCs w:val="22"/>
          <w:lang w:val="en-GB"/>
        </w:rPr>
        <w:t xml:space="preserve"> in </w:t>
      </w:r>
      <w:r w:rsidRPr="00424D5D">
        <w:rPr>
          <w:b/>
          <w:bCs/>
          <w:sz w:val="22"/>
          <w:szCs w:val="22"/>
          <w:lang w:val="en-GB"/>
        </w:rPr>
        <w:t>small serves</w:t>
      </w:r>
      <w:r w:rsidRPr="00424D5D">
        <w:rPr>
          <w:sz w:val="22"/>
          <w:szCs w:val="22"/>
          <w:lang w:val="en-GB"/>
        </w:rPr>
        <w:t xml:space="preserve">. The very nature of providing a diet that is energy and nutrient-dense in small serving sizes may require the addition of extra fat, protein, or refined carbohydrate; or selection of food items that are perhaps considered 'less healthy'. This practice is incompatible with a standard that limits the percentage of energy from these macronutrients. More specific guidance about individual meals and components of the meal for the 'higher-energy' diet is provided in </w:t>
      </w:r>
      <w:hyperlink r:id="rId30" w:history="1">
        <w:r w:rsidRPr="00424D5D">
          <w:rPr>
            <w:color w:val="0000FF"/>
            <w:sz w:val="22"/>
            <w:szCs w:val="22"/>
            <w:u w:val="single"/>
            <w:lang w:val="en-GB"/>
          </w:rPr>
          <w:t>section 5</w:t>
        </w:r>
      </w:hyperlink>
      <w:r w:rsidRPr="00424D5D">
        <w:rPr>
          <w:sz w:val="22"/>
          <w:szCs w:val="22"/>
          <w:lang w:val="en-GB"/>
        </w:rPr>
        <w:t>.</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Non-starch polysaccharide </w:t>
      </w:r>
      <w:proofErr w:type="gramStart"/>
      <w:r w:rsidRPr="00424D5D">
        <w:rPr>
          <w:sz w:val="22"/>
          <w:szCs w:val="22"/>
          <w:lang w:val="en-GB"/>
        </w:rPr>
        <w:t>( NSP</w:t>
      </w:r>
      <w:proofErr w:type="gramEnd"/>
      <w:r w:rsidRPr="00424D5D">
        <w:rPr>
          <w:sz w:val="22"/>
          <w:szCs w:val="22"/>
          <w:lang w:val="en-GB"/>
        </w:rPr>
        <w:t xml:space="preserve">) or fibre provides bulk to the diet. A diet high in NSP is beneficial for individuals whose needs are in line with the healthy diet; it is important in preventing constipation, it gives a feeling of fullness and thus individuals are less likely to want to eat as frequently. As such, a diet that is very high in NSP is not advocated for individuals with a poor appetite where the aim is to ensure maximum food and thus energy and nutrient intakes. Diets of 'nutritionally well' adults should contain 18g/day; with a range 12-18g for the 'nutritionally vulnerable' depending on individual circumstances. </w:t>
      </w:r>
      <w:hyperlink r:id="rId31" w:history="1">
        <w:r w:rsidRPr="00424D5D">
          <w:rPr>
            <w:color w:val="0000FF"/>
            <w:sz w:val="22"/>
            <w:szCs w:val="22"/>
            <w:u w:val="single"/>
            <w:vertAlign w:val="superscript"/>
            <w:lang w:val="en-GB"/>
          </w:rPr>
          <w:t>11</w:t>
        </w:r>
      </w:hyperlink>
    </w:p>
    <w:p w:rsidR="00291B98" w:rsidRPr="00424D5D" w:rsidRDefault="00291B98" w:rsidP="00291B98">
      <w:pPr>
        <w:spacing w:before="100" w:beforeAutospacing="1" w:after="100" w:afterAutospacing="1"/>
        <w:rPr>
          <w:sz w:val="22"/>
          <w:szCs w:val="22"/>
          <w:lang w:val="en-GB"/>
        </w:rPr>
      </w:pPr>
      <w:r w:rsidRPr="00424D5D">
        <w:rPr>
          <w:sz w:val="22"/>
          <w:szCs w:val="22"/>
          <w:lang w:val="en-GB"/>
        </w:rPr>
        <w:t>Where a menu must meet the needs of the 'nutritionally well' and the 'nutritionally vulnerable', then ensuring that both 'healthy choices' and 'higher energy and nutrient-</w:t>
      </w:r>
      <w:r w:rsidRPr="00424D5D">
        <w:rPr>
          <w:sz w:val="22"/>
          <w:szCs w:val="22"/>
          <w:lang w:val="en-GB"/>
        </w:rPr>
        <w:lastRenderedPageBreak/>
        <w:t>dense' choices are available at each eating occasion should enable all patients to choose a diet that meets their nutritional requirements. It would be considered good practise for menus to be analysed to ensure that they have the capacity to enable individuals to choose a healthy balanced diet through selection of healthy choices and meet the nutritional standards for healthy eating based on COMA and SACN recommendations. They should also be analysed to ensure they have the capacity to meet the nutrient standards set for 'nutritionally vulnerable' patients.</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Many patients will have changes in their nutritional and dietary requirements during their stay in hospital. Regular nutritional screening of patients, especially those who are most vulnerable, should ensure that changing needs can be met.</w:t>
      </w:r>
    </w:p>
    <w:p w:rsidR="00291B98" w:rsidRPr="00424D5D" w:rsidRDefault="00291B98" w:rsidP="00291B98">
      <w:pPr>
        <w:spacing w:before="100" w:beforeAutospacing="1" w:after="100" w:afterAutospacing="1"/>
        <w:rPr>
          <w:sz w:val="22"/>
          <w:szCs w:val="22"/>
          <w:lang w:val="en-GB"/>
        </w:rPr>
      </w:pPr>
      <w:r w:rsidRPr="00424D5D">
        <w:rPr>
          <w:sz w:val="22"/>
          <w:szCs w:val="22"/>
          <w:lang w:val="en-GB"/>
        </w:rPr>
        <w:t xml:space="preserve">In situations when a menu is being planned solely for a defined patient group, for example children, it would be considered good practise to aim for the RNIs for nutrients for that particular age group (provided in </w:t>
      </w:r>
      <w:hyperlink r:id="rId32" w:history="1">
        <w:r w:rsidRPr="00424D5D">
          <w:rPr>
            <w:color w:val="0000FF"/>
            <w:sz w:val="22"/>
            <w:szCs w:val="22"/>
            <w:u w:val="single"/>
            <w:lang w:val="en-GB"/>
          </w:rPr>
          <w:t>Appendix two</w:t>
        </w:r>
      </w:hyperlink>
      <w:r w:rsidRPr="00424D5D">
        <w:rPr>
          <w:sz w:val="22"/>
          <w:szCs w:val="22"/>
          <w:lang w:val="en-GB"/>
        </w:rPr>
        <w:t>). In practice, the patients' choice of different portion sizes of food should account somewhat for meeting different energy and nutrient requirements.</w:t>
      </w:r>
    </w:p>
    <w:p w:rsidR="00291B98" w:rsidRPr="00424D5D" w:rsidRDefault="00291B98" w:rsidP="00291B98">
      <w:pPr>
        <w:rPr>
          <w:sz w:val="22"/>
          <w:szCs w:val="22"/>
        </w:rPr>
      </w:pPr>
    </w:p>
    <w:p w:rsidR="00291B98" w:rsidRPr="00424D5D" w:rsidRDefault="00291B98" w:rsidP="00291B98">
      <w:pPr>
        <w:numPr>
          <w:ilvl w:val="0"/>
          <w:numId w:val="3"/>
        </w:numPr>
        <w:rPr>
          <w:rFonts w:cs="Arial"/>
          <w:sz w:val="22"/>
          <w:szCs w:val="22"/>
        </w:rPr>
      </w:pPr>
      <w:r w:rsidRPr="00424D5D">
        <w:rPr>
          <w:sz w:val="22"/>
          <w:szCs w:val="22"/>
        </w:rPr>
        <w:t xml:space="preserve">Reference </w:t>
      </w:r>
      <w:r w:rsidRPr="00424D5D">
        <w:rPr>
          <w:rFonts w:cs="Arial"/>
          <w:color w:val="000000"/>
          <w:sz w:val="22"/>
          <w:szCs w:val="22"/>
        </w:rPr>
        <w:t xml:space="preserve">Food in Hospitals: National Catering and Nutrition Specification for Food and Fluid Provision in Hospitals in </w:t>
      </w:r>
      <w:smartTag w:uri="urn:schemas-microsoft-com:office:smarttags" w:element="place">
        <w:smartTag w:uri="urn:schemas-microsoft-com:office:smarttags" w:element="country-region">
          <w:r w:rsidRPr="00424D5D">
            <w:rPr>
              <w:rFonts w:cs="Arial"/>
              <w:color w:val="000000"/>
              <w:sz w:val="22"/>
              <w:szCs w:val="22"/>
            </w:rPr>
            <w:t>Scotland</w:t>
          </w:r>
        </w:smartTag>
      </w:smartTag>
      <w:r w:rsidRPr="00424D5D">
        <w:rPr>
          <w:rFonts w:cs="Arial"/>
          <w:color w:val="000000"/>
          <w:sz w:val="22"/>
          <w:szCs w:val="22"/>
        </w:rPr>
        <w:t>.  The Scottish Government (2008).</w:t>
      </w:r>
    </w:p>
    <w:p w:rsidR="00291B98" w:rsidRPr="00424D5D" w:rsidRDefault="00291B98" w:rsidP="00291B98">
      <w:pPr>
        <w:rPr>
          <w:b/>
          <w:sz w:val="22"/>
          <w:szCs w:val="22"/>
        </w:rPr>
      </w:pPr>
    </w:p>
    <w:p w:rsidR="00291B98" w:rsidRPr="00291B98" w:rsidRDefault="00291B98">
      <w:pPr>
        <w:rPr>
          <w:rFonts w:cs="Arial"/>
          <w:sz w:val="22"/>
          <w:szCs w:val="22"/>
        </w:rPr>
      </w:pPr>
    </w:p>
    <w:sectPr w:rsidR="00291B98" w:rsidRPr="00291B98" w:rsidSect="00291B98">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31" w:rsidRDefault="00E01731">
      <w:r>
        <w:separator/>
      </w:r>
    </w:p>
  </w:endnote>
  <w:endnote w:type="continuationSeparator" w:id="0">
    <w:p w:rsidR="00E01731" w:rsidRDefault="00E0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07" w:rsidRDefault="0014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98" w:rsidRPr="00142A07" w:rsidRDefault="00291B98" w:rsidP="00142A0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07" w:rsidRDefault="0014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31" w:rsidRDefault="00E01731">
      <w:r>
        <w:separator/>
      </w:r>
    </w:p>
  </w:footnote>
  <w:footnote w:type="continuationSeparator" w:id="0">
    <w:p w:rsidR="00E01731" w:rsidRDefault="00E0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07" w:rsidRDefault="00142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07" w:rsidRDefault="00142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07" w:rsidRDefault="0014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543"/>
    <w:multiLevelType w:val="multilevel"/>
    <w:tmpl w:val="B522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C634F"/>
    <w:multiLevelType w:val="hybridMultilevel"/>
    <w:tmpl w:val="483EC2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5EBE73A7"/>
    <w:multiLevelType w:val="hybridMultilevel"/>
    <w:tmpl w:val="4774B2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150094B"/>
    <w:multiLevelType w:val="hybridMultilevel"/>
    <w:tmpl w:val="795C36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4095B7D"/>
    <w:multiLevelType w:val="multilevel"/>
    <w:tmpl w:val="19CE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98"/>
    <w:rsid w:val="0007797A"/>
    <w:rsid w:val="00142A07"/>
    <w:rsid w:val="00291B98"/>
    <w:rsid w:val="006A536E"/>
    <w:rsid w:val="007B39F4"/>
    <w:rsid w:val="00D3180C"/>
    <w:rsid w:val="00E0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B98"/>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1B98"/>
    <w:pPr>
      <w:tabs>
        <w:tab w:val="center" w:pos="4153"/>
        <w:tab w:val="right" w:pos="8306"/>
      </w:tabs>
    </w:pPr>
  </w:style>
  <w:style w:type="paragraph" w:styleId="Footer">
    <w:name w:val="footer"/>
    <w:basedOn w:val="Normal"/>
    <w:rsid w:val="00291B98"/>
    <w:pPr>
      <w:tabs>
        <w:tab w:val="center" w:pos="4153"/>
        <w:tab w:val="right" w:pos="8306"/>
      </w:tabs>
    </w:pPr>
  </w:style>
  <w:style w:type="table" w:styleId="TableGrid8">
    <w:name w:val="Table Grid 8"/>
    <w:basedOn w:val="TableNormal"/>
    <w:rsid w:val="00D3180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318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rsid w:val="00D3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D3180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B98"/>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1B98"/>
    <w:pPr>
      <w:tabs>
        <w:tab w:val="center" w:pos="4153"/>
        <w:tab w:val="right" w:pos="8306"/>
      </w:tabs>
    </w:pPr>
  </w:style>
  <w:style w:type="paragraph" w:styleId="Footer">
    <w:name w:val="footer"/>
    <w:basedOn w:val="Normal"/>
    <w:rsid w:val="00291B98"/>
    <w:pPr>
      <w:tabs>
        <w:tab w:val="center" w:pos="4153"/>
        <w:tab w:val="right" w:pos="8306"/>
      </w:tabs>
    </w:pPr>
  </w:style>
  <w:style w:type="table" w:styleId="TableGrid8">
    <w:name w:val="Table Grid 8"/>
    <w:basedOn w:val="TableNormal"/>
    <w:rsid w:val="00D3180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318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rsid w:val="00D3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D3180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Publications/2008/06/24145312/20" TargetMode="External"/><Relationship Id="rId13" Type="http://schemas.openxmlformats.org/officeDocument/2006/relationships/hyperlink" Target="http://www.scotland.gov.uk/Publications/2008/06/24145312/20" TargetMode="External"/><Relationship Id="rId18" Type="http://schemas.openxmlformats.org/officeDocument/2006/relationships/hyperlink" Target="http://www.scotland.gov.uk/Publications/2008/06/24145312/20" TargetMode="External"/><Relationship Id="rId26" Type="http://schemas.openxmlformats.org/officeDocument/2006/relationships/hyperlink" Target="http://www.scotland.gov.uk/Publications/2008/06/24145312/2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otland.gov.uk/Publications/2008/06/24145312/2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otland.gov.uk/Publications/2008/06/24145312/20" TargetMode="External"/><Relationship Id="rId17" Type="http://schemas.openxmlformats.org/officeDocument/2006/relationships/hyperlink" Target="http://www.scotland.gov.uk/Publications/2008/06/24145312/20" TargetMode="External"/><Relationship Id="rId25" Type="http://schemas.openxmlformats.org/officeDocument/2006/relationships/hyperlink" Target="http://www.scotland.gov.uk/Publications/2008/06/24145312/1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otland.gov.uk/Publications/2008/06/24145312/20" TargetMode="External"/><Relationship Id="rId20" Type="http://schemas.openxmlformats.org/officeDocument/2006/relationships/hyperlink" Target="http://www.scotland.gov.uk/Publications/2008/06/24145312/20" TargetMode="External"/><Relationship Id="rId29" Type="http://schemas.openxmlformats.org/officeDocument/2006/relationships/hyperlink" Target="http://www.scotland.gov.uk/Publications/2008/06/24145312/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Publications/2008/06/24145312/20" TargetMode="External"/><Relationship Id="rId24" Type="http://schemas.openxmlformats.org/officeDocument/2006/relationships/hyperlink" Target="http://www.scotland.gov.uk/Publications/2008/06/24145312/20" TargetMode="External"/><Relationship Id="rId32" Type="http://schemas.openxmlformats.org/officeDocument/2006/relationships/hyperlink" Target="http://www.scotland.gov.uk/Publications/2008/06/24145312/1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tland.gov.uk/Publications/2008/06/24145312/20" TargetMode="External"/><Relationship Id="rId23" Type="http://schemas.openxmlformats.org/officeDocument/2006/relationships/hyperlink" Target="http://www.scotland.gov.uk/Publications/2008/06/24145312/20" TargetMode="External"/><Relationship Id="rId28" Type="http://schemas.openxmlformats.org/officeDocument/2006/relationships/hyperlink" Target="http://www.scotland.gov.uk/Publications/2008/06/24145312/20" TargetMode="External"/><Relationship Id="rId36" Type="http://schemas.openxmlformats.org/officeDocument/2006/relationships/footer" Target="footer2.xml"/><Relationship Id="rId10" Type="http://schemas.openxmlformats.org/officeDocument/2006/relationships/hyperlink" Target="http://www.scotland.gov.uk/Publications/2008/06/24145312/20" TargetMode="External"/><Relationship Id="rId19" Type="http://schemas.openxmlformats.org/officeDocument/2006/relationships/hyperlink" Target="http://www.scotland.gov.uk/Publications/2008/06/24145312/20" TargetMode="External"/><Relationship Id="rId31" Type="http://schemas.openxmlformats.org/officeDocument/2006/relationships/hyperlink" Target="http://www.scotland.gov.uk/Publications/2008/06/24145312/20" TargetMode="External"/><Relationship Id="rId4" Type="http://schemas.openxmlformats.org/officeDocument/2006/relationships/settings" Target="settings.xml"/><Relationship Id="rId9" Type="http://schemas.openxmlformats.org/officeDocument/2006/relationships/hyperlink" Target="http://www.scotland.gov.uk/Publications/2008/06/24145312/20" TargetMode="External"/><Relationship Id="rId14" Type="http://schemas.openxmlformats.org/officeDocument/2006/relationships/hyperlink" Target="http://www.scotland.gov.uk/Publications/2008/06/24145312/20" TargetMode="External"/><Relationship Id="rId22" Type="http://schemas.openxmlformats.org/officeDocument/2006/relationships/hyperlink" Target="http://www.scotland.gov.uk/Publications/2008/06/24145312/12" TargetMode="External"/><Relationship Id="rId27" Type="http://schemas.openxmlformats.org/officeDocument/2006/relationships/hyperlink" Target="http://www.scotland.gov.uk/Publications/2008/06/24145312/20" TargetMode="External"/><Relationship Id="rId30" Type="http://schemas.openxmlformats.org/officeDocument/2006/relationships/hyperlink" Target="http://www.scotland.gov.uk/Publications/2008/06/24145312/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6</vt:lpstr>
    </vt:vector>
  </TitlesOfParts>
  <Company>Salisbury NHS Trust</Company>
  <LinksUpToDate>false</LinksUpToDate>
  <CharactersWithSpaces>12474</CharactersWithSpaces>
  <SharedDoc>false</SharedDoc>
  <HLinks>
    <vt:vector size="150" baseType="variant">
      <vt:variant>
        <vt:i4>2359336</vt:i4>
      </vt:variant>
      <vt:variant>
        <vt:i4>72</vt:i4>
      </vt:variant>
      <vt:variant>
        <vt:i4>0</vt:i4>
      </vt:variant>
      <vt:variant>
        <vt:i4>5</vt:i4>
      </vt:variant>
      <vt:variant>
        <vt:lpwstr>http://www.scotland.gov.uk/Publications/2008/06/24145312/12</vt:lpwstr>
      </vt:variant>
      <vt:variant>
        <vt:lpwstr/>
      </vt:variant>
      <vt:variant>
        <vt:i4>2555944</vt:i4>
      </vt:variant>
      <vt:variant>
        <vt:i4>69</vt:i4>
      </vt:variant>
      <vt:variant>
        <vt:i4>0</vt:i4>
      </vt:variant>
      <vt:variant>
        <vt:i4>5</vt:i4>
      </vt:variant>
      <vt:variant>
        <vt:lpwstr>http://www.scotland.gov.uk/Publications/2008/06/24145312/20</vt:lpwstr>
      </vt:variant>
      <vt:variant>
        <vt:lpwstr/>
      </vt:variant>
      <vt:variant>
        <vt:i4>2883624</vt:i4>
      </vt:variant>
      <vt:variant>
        <vt:i4>66</vt:i4>
      </vt:variant>
      <vt:variant>
        <vt:i4>0</vt:i4>
      </vt:variant>
      <vt:variant>
        <vt:i4>5</vt:i4>
      </vt:variant>
      <vt:variant>
        <vt:lpwstr>http://www.scotland.gov.uk/Publications/2008/06/24145312/9</vt:lpwstr>
      </vt:variant>
      <vt:variant>
        <vt:lpwstr/>
      </vt:variant>
      <vt:variant>
        <vt:i4>2555944</vt:i4>
      </vt:variant>
      <vt:variant>
        <vt:i4>63</vt:i4>
      </vt:variant>
      <vt:variant>
        <vt:i4>0</vt:i4>
      </vt:variant>
      <vt:variant>
        <vt:i4>5</vt:i4>
      </vt:variant>
      <vt:variant>
        <vt:lpwstr>http://www.scotland.gov.uk/Publications/2008/06/24145312/20</vt:lpwstr>
      </vt:variant>
      <vt:variant>
        <vt:lpwstr/>
      </vt:variant>
      <vt:variant>
        <vt:i4>2555944</vt:i4>
      </vt:variant>
      <vt:variant>
        <vt:i4>60</vt:i4>
      </vt:variant>
      <vt:variant>
        <vt:i4>0</vt:i4>
      </vt:variant>
      <vt:variant>
        <vt:i4>5</vt:i4>
      </vt:variant>
      <vt:variant>
        <vt:lpwstr>http://www.scotland.gov.uk/Publications/2008/06/24145312/20</vt:lpwstr>
      </vt:variant>
      <vt:variant>
        <vt:lpwstr/>
      </vt:variant>
      <vt:variant>
        <vt:i4>2555944</vt:i4>
      </vt:variant>
      <vt:variant>
        <vt:i4>57</vt:i4>
      </vt:variant>
      <vt:variant>
        <vt:i4>0</vt:i4>
      </vt:variant>
      <vt:variant>
        <vt:i4>5</vt:i4>
      </vt:variant>
      <vt:variant>
        <vt:lpwstr>http://www.scotland.gov.uk/Publications/2008/06/24145312/20</vt:lpwstr>
      </vt:variant>
      <vt:variant>
        <vt:lpwstr/>
      </vt:variant>
      <vt:variant>
        <vt:i4>2555944</vt:i4>
      </vt:variant>
      <vt:variant>
        <vt:i4>54</vt:i4>
      </vt:variant>
      <vt:variant>
        <vt:i4>0</vt:i4>
      </vt:variant>
      <vt:variant>
        <vt:i4>5</vt:i4>
      </vt:variant>
      <vt:variant>
        <vt:lpwstr>http://www.scotland.gov.uk/Publications/2008/06/24145312/20</vt:lpwstr>
      </vt:variant>
      <vt:variant>
        <vt:lpwstr/>
      </vt:variant>
      <vt:variant>
        <vt:i4>2359336</vt:i4>
      </vt:variant>
      <vt:variant>
        <vt:i4>51</vt:i4>
      </vt:variant>
      <vt:variant>
        <vt:i4>0</vt:i4>
      </vt:variant>
      <vt:variant>
        <vt:i4>5</vt:i4>
      </vt:variant>
      <vt:variant>
        <vt:lpwstr>http://www.scotland.gov.uk/Publications/2008/06/24145312/13</vt:lpwstr>
      </vt:variant>
      <vt:variant>
        <vt:lpwstr/>
      </vt:variant>
      <vt:variant>
        <vt:i4>2555944</vt:i4>
      </vt:variant>
      <vt:variant>
        <vt:i4>48</vt:i4>
      </vt:variant>
      <vt:variant>
        <vt:i4>0</vt:i4>
      </vt:variant>
      <vt:variant>
        <vt:i4>5</vt:i4>
      </vt:variant>
      <vt:variant>
        <vt:lpwstr>http://www.scotland.gov.uk/Publications/2008/06/24145312/20</vt:lpwstr>
      </vt:variant>
      <vt:variant>
        <vt:lpwstr/>
      </vt:variant>
      <vt:variant>
        <vt:i4>2555944</vt:i4>
      </vt:variant>
      <vt:variant>
        <vt:i4>45</vt:i4>
      </vt:variant>
      <vt:variant>
        <vt:i4>0</vt:i4>
      </vt:variant>
      <vt:variant>
        <vt:i4>5</vt:i4>
      </vt:variant>
      <vt:variant>
        <vt:lpwstr>http://www.scotland.gov.uk/Publications/2008/06/24145312/20</vt:lpwstr>
      </vt:variant>
      <vt:variant>
        <vt:lpwstr/>
      </vt:variant>
      <vt:variant>
        <vt:i4>2359336</vt:i4>
      </vt:variant>
      <vt:variant>
        <vt:i4>42</vt:i4>
      </vt:variant>
      <vt:variant>
        <vt:i4>0</vt:i4>
      </vt:variant>
      <vt:variant>
        <vt:i4>5</vt:i4>
      </vt:variant>
      <vt:variant>
        <vt:lpwstr>http://www.scotland.gov.uk/Publications/2008/06/24145312/12</vt:lpwstr>
      </vt:variant>
      <vt:variant>
        <vt:lpwstr/>
      </vt:variant>
      <vt:variant>
        <vt:i4>2555944</vt:i4>
      </vt:variant>
      <vt:variant>
        <vt:i4>39</vt:i4>
      </vt:variant>
      <vt:variant>
        <vt:i4>0</vt:i4>
      </vt:variant>
      <vt:variant>
        <vt:i4>5</vt:i4>
      </vt:variant>
      <vt:variant>
        <vt:lpwstr>http://www.scotland.gov.uk/Publications/2008/06/24145312/20</vt:lpwstr>
      </vt:variant>
      <vt:variant>
        <vt:lpwstr/>
      </vt:variant>
      <vt:variant>
        <vt:i4>2555944</vt:i4>
      </vt:variant>
      <vt:variant>
        <vt:i4>36</vt:i4>
      </vt:variant>
      <vt:variant>
        <vt:i4>0</vt:i4>
      </vt:variant>
      <vt:variant>
        <vt:i4>5</vt:i4>
      </vt:variant>
      <vt:variant>
        <vt:lpwstr>http://www.scotland.gov.uk/Publications/2008/06/24145312/20</vt:lpwstr>
      </vt:variant>
      <vt:variant>
        <vt:lpwstr/>
      </vt:variant>
      <vt:variant>
        <vt:i4>2555944</vt:i4>
      </vt:variant>
      <vt:variant>
        <vt:i4>33</vt:i4>
      </vt:variant>
      <vt:variant>
        <vt:i4>0</vt:i4>
      </vt:variant>
      <vt:variant>
        <vt:i4>5</vt:i4>
      </vt:variant>
      <vt:variant>
        <vt:lpwstr>http://www.scotland.gov.uk/Publications/2008/06/24145312/20</vt:lpwstr>
      </vt:variant>
      <vt:variant>
        <vt:lpwstr/>
      </vt:variant>
      <vt:variant>
        <vt:i4>2555944</vt:i4>
      </vt:variant>
      <vt:variant>
        <vt:i4>30</vt:i4>
      </vt:variant>
      <vt:variant>
        <vt:i4>0</vt:i4>
      </vt:variant>
      <vt:variant>
        <vt:i4>5</vt:i4>
      </vt:variant>
      <vt:variant>
        <vt:lpwstr>http://www.scotland.gov.uk/Publications/2008/06/24145312/20</vt:lpwstr>
      </vt:variant>
      <vt:variant>
        <vt:lpwstr/>
      </vt:variant>
      <vt:variant>
        <vt:i4>2555944</vt:i4>
      </vt:variant>
      <vt:variant>
        <vt:i4>27</vt:i4>
      </vt:variant>
      <vt:variant>
        <vt:i4>0</vt:i4>
      </vt:variant>
      <vt:variant>
        <vt:i4>5</vt:i4>
      </vt:variant>
      <vt:variant>
        <vt:lpwstr>http://www.scotland.gov.uk/Publications/2008/06/24145312/20</vt:lpwstr>
      </vt:variant>
      <vt:variant>
        <vt:lpwstr/>
      </vt:variant>
      <vt:variant>
        <vt:i4>2555944</vt:i4>
      </vt:variant>
      <vt:variant>
        <vt:i4>24</vt:i4>
      </vt:variant>
      <vt:variant>
        <vt:i4>0</vt:i4>
      </vt:variant>
      <vt:variant>
        <vt:i4>5</vt:i4>
      </vt:variant>
      <vt:variant>
        <vt:lpwstr>http://www.scotland.gov.uk/Publications/2008/06/24145312/20</vt:lpwstr>
      </vt:variant>
      <vt:variant>
        <vt:lpwstr/>
      </vt:variant>
      <vt:variant>
        <vt:i4>2555944</vt:i4>
      </vt:variant>
      <vt:variant>
        <vt:i4>21</vt:i4>
      </vt:variant>
      <vt:variant>
        <vt:i4>0</vt:i4>
      </vt:variant>
      <vt:variant>
        <vt:i4>5</vt:i4>
      </vt:variant>
      <vt:variant>
        <vt:lpwstr>http://www.scotland.gov.uk/Publications/2008/06/24145312/20</vt:lpwstr>
      </vt:variant>
      <vt:variant>
        <vt:lpwstr/>
      </vt:variant>
      <vt:variant>
        <vt:i4>2555944</vt:i4>
      </vt:variant>
      <vt:variant>
        <vt:i4>18</vt:i4>
      </vt:variant>
      <vt:variant>
        <vt:i4>0</vt:i4>
      </vt:variant>
      <vt:variant>
        <vt:i4>5</vt:i4>
      </vt:variant>
      <vt:variant>
        <vt:lpwstr>http://www.scotland.gov.uk/Publications/2008/06/24145312/20</vt:lpwstr>
      </vt:variant>
      <vt:variant>
        <vt:lpwstr/>
      </vt:variant>
      <vt:variant>
        <vt:i4>2555944</vt:i4>
      </vt:variant>
      <vt:variant>
        <vt:i4>15</vt:i4>
      </vt:variant>
      <vt:variant>
        <vt:i4>0</vt:i4>
      </vt:variant>
      <vt:variant>
        <vt:i4>5</vt:i4>
      </vt:variant>
      <vt:variant>
        <vt:lpwstr>http://www.scotland.gov.uk/Publications/2008/06/24145312/20</vt:lpwstr>
      </vt:variant>
      <vt:variant>
        <vt:lpwstr/>
      </vt:variant>
      <vt:variant>
        <vt:i4>2555944</vt:i4>
      </vt:variant>
      <vt:variant>
        <vt:i4>12</vt:i4>
      </vt:variant>
      <vt:variant>
        <vt:i4>0</vt:i4>
      </vt:variant>
      <vt:variant>
        <vt:i4>5</vt:i4>
      </vt:variant>
      <vt:variant>
        <vt:lpwstr>http://www.scotland.gov.uk/Publications/2008/06/24145312/20</vt:lpwstr>
      </vt:variant>
      <vt:variant>
        <vt:lpwstr/>
      </vt:variant>
      <vt:variant>
        <vt:i4>2555944</vt:i4>
      </vt:variant>
      <vt:variant>
        <vt:i4>9</vt:i4>
      </vt:variant>
      <vt:variant>
        <vt:i4>0</vt:i4>
      </vt:variant>
      <vt:variant>
        <vt:i4>5</vt:i4>
      </vt:variant>
      <vt:variant>
        <vt:lpwstr>http://www.scotland.gov.uk/Publications/2008/06/24145312/20</vt:lpwstr>
      </vt:variant>
      <vt:variant>
        <vt:lpwstr/>
      </vt:variant>
      <vt:variant>
        <vt:i4>2555944</vt:i4>
      </vt:variant>
      <vt:variant>
        <vt:i4>6</vt:i4>
      </vt:variant>
      <vt:variant>
        <vt:i4>0</vt:i4>
      </vt:variant>
      <vt:variant>
        <vt:i4>5</vt:i4>
      </vt:variant>
      <vt:variant>
        <vt:lpwstr>http://www.scotland.gov.uk/Publications/2008/06/24145312/20</vt:lpwstr>
      </vt:variant>
      <vt:variant>
        <vt:lpwstr/>
      </vt:variant>
      <vt:variant>
        <vt:i4>2555944</vt:i4>
      </vt:variant>
      <vt:variant>
        <vt:i4>3</vt:i4>
      </vt:variant>
      <vt:variant>
        <vt:i4>0</vt:i4>
      </vt:variant>
      <vt:variant>
        <vt:i4>5</vt:i4>
      </vt:variant>
      <vt:variant>
        <vt:lpwstr>http://www.scotland.gov.uk/Publications/2008/06/24145312/20</vt:lpwstr>
      </vt:variant>
      <vt:variant>
        <vt:lpwstr/>
      </vt:variant>
      <vt:variant>
        <vt:i4>2555944</vt:i4>
      </vt:variant>
      <vt:variant>
        <vt:i4>0</vt:i4>
      </vt:variant>
      <vt:variant>
        <vt:i4>0</vt:i4>
      </vt:variant>
      <vt:variant>
        <vt:i4>5</vt:i4>
      </vt:variant>
      <vt:variant>
        <vt:lpwstr>http://www.scotland.gov.uk/Publications/2008/06/24145312/20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dc:title>
  <dc:creator>wilkinsonlx</dc:creator>
  <cp:lastModifiedBy>sibsonpg</cp:lastModifiedBy>
  <cp:revision>2</cp:revision>
  <cp:lastPrinted>2011-04-19T14:03:00Z</cp:lastPrinted>
  <dcterms:created xsi:type="dcterms:W3CDTF">2014-04-01T10:51:00Z</dcterms:created>
  <dcterms:modified xsi:type="dcterms:W3CDTF">2014-04-01T10:51:00Z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2025917275</vt:i4>
  </property>
  <property fmtid="{D5CDD505-2E9C-101B-9397-08002B2CF9AE}" pid="3" name="_NewReviewCycle">
    <vt:lpwstr/>
  </property>
  <property fmtid="{D5CDD505-2E9C-101B-9397-08002B2CF9AE}" pid="4" name="_EmailSubject">
    <vt:lpwstr>Food and Nutrition Policy - new policy</vt:lpwstr>
  </property>
  <property fmtid="{D5CDD505-2E9C-101B-9397-08002B2CF9AE}" pid="5" name="_AuthorEmail">
    <vt:lpwstr>Lorna.Wilkinson@salisbury.nhs.uk</vt:lpwstr>
  </property>
  <property fmtid="{D5CDD505-2E9C-101B-9397-08002B2CF9AE}" pid="6" name="_AuthorEmailDisplayName">
    <vt:lpwstr>Lorna Wilkinson</vt:lpwstr>
  </property>
  <property fmtid="{D5CDD505-2E9C-101B-9397-08002B2CF9AE}" pid="7" name="_ReviewingToolsShownOnce">
    <vt:lpwstr/>
  </property>
</Properties>
</file>