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66" w:rsidRDefault="00CB7B66" w:rsidP="00CB7B66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CB7B66">
        <w:rPr>
          <w:b/>
          <w:sz w:val="36"/>
          <w:u w:val="single"/>
        </w:rPr>
        <w:t>COVID-19 HAEMATOLOGY GUIDANCE</w:t>
      </w:r>
      <w:r w:rsidR="00115C78">
        <w:rPr>
          <w:b/>
          <w:sz w:val="36"/>
          <w:u w:val="single"/>
        </w:rPr>
        <w:t xml:space="preserve"> version 1.0</w:t>
      </w:r>
    </w:p>
    <w:p w:rsidR="00115C78" w:rsidRDefault="00115C78" w:rsidP="00115C78">
      <w:pPr>
        <w:pStyle w:val="Default"/>
        <w:numPr>
          <w:ilvl w:val="0"/>
          <w:numId w:val="2"/>
        </w:numPr>
        <w:spacing w:after="68" w:line="360" w:lineRule="auto"/>
        <w:rPr>
          <w:rFonts w:asciiTheme="minorHAnsi" w:hAnsiTheme="minorHAnsi"/>
          <w:sz w:val="22"/>
          <w:szCs w:val="22"/>
        </w:rPr>
      </w:pPr>
      <w:r w:rsidRPr="00FD66C6">
        <w:rPr>
          <w:rFonts w:asciiTheme="minorHAnsi" w:hAnsiTheme="minorHAnsi"/>
          <w:sz w:val="22"/>
          <w:szCs w:val="22"/>
        </w:rPr>
        <w:t>In light of new data and guidelines this SOP will be regularly reviewed and updated.</w:t>
      </w:r>
      <w:r>
        <w:rPr>
          <w:rFonts w:asciiTheme="minorHAnsi" w:hAnsiTheme="minorHAnsi"/>
          <w:sz w:val="22"/>
          <w:szCs w:val="22"/>
        </w:rPr>
        <w:t xml:space="preserve"> Please ensure that you are using the most up to date version</w:t>
      </w:r>
    </w:p>
    <w:p w:rsidR="00CB7B66" w:rsidRDefault="00CB7B66" w:rsidP="00115C78">
      <w:pPr>
        <w:jc w:val="both"/>
        <w:rPr>
          <w:b/>
          <w:u w:val="single"/>
        </w:rPr>
      </w:pPr>
    </w:p>
    <w:p w:rsidR="00C35B4F" w:rsidRPr="006C03BB" w:rsidRDefault="0069228D">
      <w:pPr>
        <w:rPr>
          <w:b/>
          <w:sz w:val="28"/>
          <w:u w:val="single"/>
        </w:rPr>
      </w:pPr>
      <w:r w:rsidRPr="006C03BB">
        <w:rPr>
          <w:b/>
          <w:sz w:val="28"/>
          <w:u w:val="single"/>
        </w:rPr>
        <w:t>COVID-19 Disseminated Intravascular Coagulation</w:t>
      </w:r>
    </w:p>
    <w:p w:rsidR="0069228D" w:rsidRDefault="0069228D">
      <w:r>
        <w:t>Early data from Wuhan, China suggest</w:t>
      </w:r>
      <w:r w:rsidR="003413DF">
        <w:t>s</w:t>
      </w:r>
      <w:r>
        <w:t xml:space="preserve"> that DIC is more commonly seen in patients with severe disease and may be a predictor of increased mortality</w:t>
      </w:r>
      <w:r w:rsidR="00CB7B66">
        <w:t xml:space="preserve"> </w:t>
      </w:r>
      <w:r w:rsidR="00CB7B66" w:rsidRPr="00CB7B66">
        <w:t>(Tang et al, 2020)</w:t>
      </w:r>
      <w:r w:rsidRPr="00CB7B66">
        <w:t>.</w:t>
      </w:r>
    </w:p>
    <w:p w:rsidR="0069228D" w:rsidRDefault="0069228D">
      <w:r>
        <w:t>A FBC, clotting screen, fibrinogen and D dimers should be undertaken on all patients wi</w:t>
      </w:r>
      <w:r w:rsidR="00272302">
        <w:t>th suspected or proven COVID-19.</w:t>
      </w:r>
      <w:r w:rsidR="003413DF">
        <w:t xml:space="preserve"> These can be requested as a test group </w:t>
      </w:r>
      <w:r w:rsidR="005C7D46">
        <w:t xml:space="preserve">(DIC score) </w:t>
      </w:r>
      <w:r w:rsidR="003413DF">
        <w:t xml:space="preserve">on </w:t>
      </w:r>
      <w:proofErr w:type="spellStart"/>
      <w:r w:rsidR="003413DF">
        <w:t>tQuest</w:t>
      </w:r>
      <w:proofErr w:type="spellEnd"/>
      <w:r w:rsidR="003413DF">
        <w:t xml:space="preserve"> or individually.</w:t>
      </w:r>
    </w:p>
    <w:p w:rsidR="0069228D" w:rsidRDefault="0069228D">
      <w:r>
        <w:t>The results can be us</w:t>
      </w:r>
      <w:r w:rsidR="00CB7B66">
        <w:t>ed to calculate a DIC score (BSH H+T Task Force 2020), supporting the presence or absence of DIC</w:t>
      </w:r>
      <w:r w:rsidR="00CB7B66" w:rsidRPr="00CB7B66">
        <w:t>, and therefore may be used to aid decision-making when used in conjunction with other clinical parameters.</w:t>
      </w:r>
    </w:p>
    <w:p w:rsidR="00272302" w:rsidRDefault="00272302">
      <w:pPr>
        <w:rPr>
          <w:color w:val="FF0000"/>
        </w:rPr>
      </w:pPr>
      <w:r w:rsidRPr="0069228D">
        <w:rPr>
          <w:noProof/>
          <w:color w:val="FF0000"/>
          <w:lang w:eastAsia="en-GB"/>
        </w:rPr>
        <w:drawing>
          <wp:inline distT="0" distB="0" distL="0" distR="0" wp14:anchorId="0055181F" wp14:editId="5B8B0738">
            <wp:extent cx="5731510" cy="2535492"/>
            <wp:effectExtent l="0" t="0" r="254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8"/>
                    <a:srcRect l="16266" t="28150" r="20430" b="20003"/>
                    <a:stretch/>
                  </pic:blipFill>
                  <pic:spPr bwMode="auto">
                    <a:xfrm>
                      <a:off x="0" y="0"/>
                      <a:ext cx="5731510" cy="2535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302" w:rsidRPr="00272302" w:rsidRDefault="00272302">
      <w:r w:rsidRPr="00272302">
        <w:t>Consideration should be given to repeating this every 24-48 hours, especially if</w:t>
      </w:r>
      <w:r w:rsidR="00CB7B66">
        <w:t xml:space="preserve"> on ICU/HDU or if</w:t>
      </w:r>
      <w:r w:rsidRPr="00272302">
        <w:t xml:space="preserve"> clinical deterioration.</w:t>
      </w:r>
    </w:p>
    <w:p w:rsidR="00272302" w:rsidRPr="00272302" w:rsidRDefault="00272302">
      <w:pPr>
        <w:rPr>
          <w:b/>
          <w:u w:val="single"/>
        </w:rPr>
      </w:pPr>
      <w:r w:rsidRPr="00272302">
        <w:rPr>
          <w:b/>
          <w:u w:val="single"/>
        </w:rPr>
        <w:t>Treatment</w:t>
      </w:r>
    </w:p>
    <w:p w:rsidR="00272302" w:rsidRPr="00272302" w:rsidRDefault="003413DF">
      <w:pPr>
        <w:rPr>
          <w:b/>
        </w:rPr>
      </w:pPr>
      <w:r>
        <w:rPr>
          <w:b/>
        </w:rPr>
        <w:t>No active bleeding / No</w:t>
      </w:r>
      <w:r w:rsidR="00272302" w:rsidRPr="00272302">
        <w:rPr>
          <w:b/>
        </w:rPr>
        <w:t xml:space="preserve"> planned significant procedure:</w:t>
      </w:r>
    </w:p>
    <w:p w:rsidR="00272302" w:rsidRPr="00272302" w:rsidRDefault="00272302">
      <w:r w:rsidRPr="00272302">
        <w:t>Maintain platelet count &gt;20. Request a single unit of platelets only.</w:t>
      </w:r>
    </w:p>
    <w:p w:rsidR="00272302" w:rsidRPr="00272302" w:rsidRDefault="00272302">
      <w:r w:rsidRPr="00272302">
        <w:t>Do not treat abnormal INR/APTT/fibrinogen parameters.</w:t>
      </w:r>
    </w:p>
    <w:p w:rsidR="0069228D" w:rsidRPr="00272302" w:rsidRDefault="00272302">
      <w:pPr>
        <w:rPr>
          <w:u w:val="single"/>
        </w:rPr>
      </w:pPr>
      <w:r w:rsidRPr="00272302">
        <w:rPr>
          <w:u w:val="single"/>
        </w:rPr>
        <w:t>Do not give tranexamic acid</w:t>
      </w:r>
      <w:r w:rsidR="003413DF">
        <w:rPr>
          <w:u w:val="single"/>
        </w:rPr>
        <w:t xml:space="preserve"> / Prothrombin complex concentrate</w:t>
      </w:r>
      <w:r w:rsidR="00CB7B66">
        <w:rPr>
          <w:u w:val="single"/>
        </w:rPr>
        <w:t xml:space="preserve"> / r</w:t>
      </w:r>
      <w:r w:rsidR="003413DF">
        <w:rPr>
          <w:u w:val="single"/>
        </w:rPr>
        <w:t xml:space="preserve">ecombinant factor </w:t>
      </w:r>
      <w:proofErr w:type="spellStart"/>
      <w:r w:rsidR="00CB7B66">
        <w:rPr>
          <w:u w:val="single"/>
        </w:rPr>
        <w:t>VIIa</w:t>
      </w:r>
      <w:proofErr w:type="spellEnd"/>
    </w:p>
    <w:p w:rsidR="00272302" w:rsidRPr="00272302" w:rsidRDefault="00272302">
      <w:pPr>
        <w:rPr>
          <w:b/>
        </w:rPr>
      </w:pPr>
      <w:r w:rsidRPr="00272302">
        <w:rPr>
          <w:b/>
        </w:rPr>
        <w:t>Active Bleeding</w:t>
      </w:r>
      <w:r w:rsidR="00CB7B66">
        <w:rPr>
          <w:b/>
        </w:rPr>
        <w:t xml:space="preserve"> </w:t>
      </w:r>
    </w:p>
    <w:p w:rsidR="00272302" w:rsidRPr="00272302" w:rsidRDefault="00272302">
      <w:r w:rsidRPr="00272302">
        <w:t>Maintain platelet count &gt;50</w:t>
      </w:r>
      <w:r w:rsidR="003413DF">
        <w:t xml:space="preserve"> in the first instance.</w:t>
      </w:r>
    </w:p>
    <w:p w:rsidR="00272302" w:rsidRPr="00272302" w:rsidRDefault="00272302">
      <w:r w:rsidRPr="00272302">
        <w:lastRenderedPageBreak/>
        <w:t>Transfuse FFP 15-25mls/kg to maintain INR/APTT ≤ 1.5</w:t>
      </w:r>
    </w:p>
    <w:p w:rsidR="00272302" w:rsidRPr="00272302" w:rsidRDefault="00272302">
      <w:r w:rsidRPr="00272302">
        <w:t>Transfuse 1</w:t>
      </w:r>
      <w:r w:rsidR="006D3740">
        <w:t xml:space="preserve">-2 </w:t>
      </w:r>
      <w:r w:rsidRPr="00272302">
        <w:t>adult dose</w:t>
      </w:r>
      <w:r w:rsidR="006D3740">
        <w:t>s</w:t>
      </w:r>
      <w:r w:rsidRPr="00272302">
        <w:t xml:space="preserve"> cryoprecipitate to maintain fibrinogen ≥ 1.5 (or fibrinogen concentrate off-license)</w:t>
      </w:r>
    </w:p>
    <w:p w:rsidR="003413DF" w:rsidRPr="00272302" w:rsidRDefault="003413DF" w:rsidP="003413DF">
      <w:pPr>
        <w:rPr>
          <w:u w:val="single"/>
        </w:rPr>
      </w:pPr>
      <w:r w:rsidRPr="00272302">
        <w:rPr>
          <w:u w:val="single"/>
        </w:rPr>
        <w:t>Do not give tranexamic acid</w:t>
      </w:r>
      <w:r>
        <w:rPr>
          <w:u w:val="single"/>
        </w:rPr>
        <w:t xml:space="preserve"> / Prothrombin complex concentrate / recombinant factor </w:t>
      </w:r>
      <w:proofErr w:type="spellStart"/>
      <w:r>
        <w:rPr>
          <w:u w:val="single"/>
        </w:rPr>
        <w:t>VIIa</w:t>
      </w:r>
      <w:proofErr w:type="spellEnd"/>
    </w:p>
    <w:p w:rsidR="00272302" w:rsidRPr="006C03BB" w:rsidRDefault="006C03BB">
      <w:r w:rsidRPr="006C03BB">
        <w:t>For major bleeding please follow the major haemorrhage protocol.</w:t>
      </w:r>
      <w:r>
        <w:t xml:space="preserve"> </w:t>
      </w:r>
      <w:r w:rsidR="00272302" w:rsidRPr="001E576F">
        <w:t xml:space="preserve">Suggest discuss all bleeding COVID-19 patients with evidence of DIC, with the </w:t>
      </w:r>
      <w:proofErr w:type="spellStart"/>
      <w:r w:rsidR="00272302" w:rsidRPr="001E576F">
        <w:t>SpR</w:t>
      </w:r>
      <w:proofErr w:type="spellEnd"/>
      <w:r w:rsidR="00272302" w:rsidRPr="001E576F">
        <w:t xml:space="preserve"> or Consultant Haematologist on-call</w:t>
      </w:r>
      <w:r w:rsidR="00272302" w:rsidRPr="001E576F">
        <w:rPr>
          <w:color w:val="FF0000"/>
        </w:rPr>
        <w:t>.</w:t>
      </w:r>
    </w:p>
    <w:p w:rsidR="00ED1D5D" w:rsidRPr="003413DF" w:rsidRDefault="00ED1D5D" w:rsidP="00ED1D5D">
      <w:pPr>
        <w:pStyle w:val="Default"/>
        <w:rPr>
          <w:color w:val="auto"/>
        </w:rPr>
      </w:pPr>
    </w:p>
    <w:p w:rsidR="00ED1D5D" w:rsidRPr="003413DF" w:rsidRDefault="00ED1D5D" w:rsidP="00ED1D5D">
      <w:pPr>
        <w:rPr>
          <w:sz w:val="20"/>
        </w:rPr>
      </w:pPr>
      <w:r w:rsidRPr="003413DF">
        <w:rPr>
          <w:sz w:val="16"/>
          <w:szCs w:val="18"/>
        </w:rPr>
        <w:t xml:space="preserve">Tang, N., Li, D., Wang, X. &amp; Sun, Z. (2020) Abnormal Coagulation parameters are associated with poor prognosis in patients with novel coronavirus pneumonia. </w:t>
      </w:r>
      <w:r w:rsidRPr="003413DF">
        <w:rPr>
          <w:i/>
          <w:iCs/>
          <w:sz w:val="16"/>
          <w:szCs w:val="18"/>
        </w:rPr>
        <w:t xml:space="preserve">Journal of thrombosis and </w:t>
      </w:r>
      <w:proofErr w:type="gramStart"/>
      <w:r w:rsidRPr="003413DF">
        <w:rPr>
          <w:i/>
          <w:iCs/>
          <w:sz w:val="16"/>
          <w:szCs w:val="18"/>
        </w:rPr>
        <w:t>haemostasis :</w:t>
      </w:r>
      <w:proofErr w:type="gramEnd"/>
      <w:r w:rsidRPr="003413DF">
        <w:rPr>
          <w:i/>
          <w:iCs/>
          <w:sz w:val="16"/>
          <w:szCs w:val="18"/>
        </w:rPr>
        <w:t xml:space="preserve"> JTH</w:t>
      </w:r>
      <w:r w:rsidRPr="003413DF">
        <w:rPr>
          <w:b/>
          <w:bCs/>
          <w:sz w:val="16"/>
          <w:szCs w:val="18"/>
        </w:rPr>
        <w:t xml:space="preserve">, </w:t>
      </w:r>
      <w:r w:rsidRPr="003413DF">
        <w:rPr>
          <w:sz w:val="16"/>
          <w:szCs w:val="18"/>
        </w:rPr>
        <w:t>1–4.</w:t>
      </w:r>
    </w:p>
    <w:p w:rsidR="00ED1D5D" w:rsidRDefault="00CB7B66">
      <w:pPr>
        <w:rPr>
          <w:sz w:val="16"/>
        </w:rPr>
      </w:pPr>
      <w:r w:rsidRPr="003413DF">
        <w:rPr>
          <w:sz w:val="16"/>
        </w:rPr>
        <w:t>British Society for Haematology, Haemostasis and Thrombosis Task Force, 2020, b-s-h.org.uk/media/18151/dic-score-in-covid-19-pneumonia_19-03-2020.pdf</w:t>
      </w:r>
    </w:p>
    <w:p w:rsidR="006D3740" w:rsidRPr="006D3740" w:rsidRDefault="006D3740" w:rsidP="006D3740">
      <w:pPr>
        <w:pStyle w:val="Default"/>
        <w:spacing w:after="68" w:line="360" w:lineRule="auto"/>
        <w:rPr>
          <w:rFonts w:asciiTheme="minorHAnsi" w:hAnsiTheme="minorHAnsi"/>
          <w:b/>
          <w:sz w:val="16"/>
          <w:szCs w:val="16"/>
          <w:u w:val="single"/>
        </w:rPr>
      </w:pPr>
      <w:r w:rsidRPr="006D3740">
        <w:rPr>
          <w:rFonts w:asciiTheme="minorHAnsi" w:hAnsiTheme="minorHAnsi" w:cs="Helvetica"/>
          <w:sz w:val="16"/>
          <w:szCs w:val="16"/>
          <w:lang w:val="en"/>
        </w:rPr>
        <w:t xml:space="preserve">Hunt B, </w:t>
      </w:r>
      <w:proofErr w:type="spellStart"/>
      <w:r w:rsidRPr="006D3740">
        <w:rPr>
          <w:rFonts w:asciiTheme="minorHAnsi" w:hAnsiTheme="minorHAnsi" w:cs="Helvetica"/>
          <w:sz w:val="16"/>
          <w:szCs w:val="16"/>
          <w:lang w:val="en"/>
        </w:rPr>
        <w:t>Retter</w:t>
      </w:r>
      <w:proofErr w:type="spellEnd"/>
      <w:r w:rsidRPr="006D3740">
        <w:rPr>
          <w:rFonts w:asciiTheme="minorHAnsi" w:hAnsiTheme="minorHAnsi" w:cs="Helvetica"/>
          <w:sz w:val="16"/>
          <w:szCs w:val="16"/>
          <w:lang w:val="en"/>
        </w:rPr>
        <w:t xml:space="preserve"> A, McClintock C. 2020. Practical guidance for the prevention of thrombosis and management of coagulopathy and disseminated intravascular coagulation of patients infected with COVID-19</w:t>
      </w:r>
      <w:r w:rsidRPr="006D3740">
        <w:rPr>
          <w:rFonts w:asciiTheme="minorHAnsi" w:hAnsiTheme="minorHAnsi"/>
          <w:b/>
          <w:sz w:val="16"/>
          <w:szCs w:val="16"/>
          <w:u w:val="single"/>
        </w:rPr>
        <w:t xml:space="preserve"> https://thrombosisuk.org/covid-19-thrombosis.php</w:t>
      </w:r>
    </w:p>
    <w:p w:rsidR="006D3740" w:rsidRPr="003413DF" w:rsidRDefault="006D3740">
      <w:pPr>
        <w:rPr>
          <w:sz w:val="16"/>
        </w:rPr>
      </w:pPr>
    </w:p>
    <w:p w:rsidR="00ED1D5D" w:rsidRPr="00272302" w:rsidRDefault="00ED1D5D">
      <w:pPr>
        <w:rPr>
          <w:color w:val="FF0000"/>
        </w:rPr>
      </w:pPr>
    </w:p>
    <w:p w:rsidR="008909CC" w:rsidRPr="003413DF" w:rsidRDefault="008909CC" w:rsidP="008909CC">
      <w:pPr>
        <w:rPr>
          <w:b/>
          <w:sz w:val="28"/>
          <w:u w:val="single"/>
        </w:rPr>
      </w:pPr>
      <w:r w:rsidRPr="003413DF">
        <w:rPr>
          <w:b/>
          <w:sz w:val="28"/>
          <w:u w:val="single"/>
        </w:rPr>
        <w:t xml:space="preserve">COVID-19 </w:t>
      </w:r>
      <w:proofErr w:type="gramStart"/>
      <w:r w:rsidRPr="003413DF">
        <w:rPr>
          <w:b/>
          <w:sz w:val="28"/>
          <w:u w:val="single"/>
        </w:rPr>
        <w:t>V</w:t>
      </w:r>
      <w:r>
        <w:rPr>
          <w:b/>
          <w:sz w:val="28"/>
          <w:u w:val="single"/>
        </w:rPr>
        <w:t xml:space="preserve">enous  </w:t>
      </w:r>
      <w:r w:rsidRPr="003413DF">
        <w:rPr>
          <w:b/>
          <w:sz w:val="28"/>
          <w:u w:val="single"/>
        </w:rPr>
        <w:t>T</w:t>
      </w:r>
      <w:r>
        <w:rPr>
          <w:b/>
          <w:sz w:val="28"/>
          <w:u w:val="single"/>
        </w:rPr>
        <w:t>hromboembolism</w:t>
      </w:r>
      <w:proofErr w:type="gramEnd"/>
      <w:r>
        <w:rPr>
          <w:b/>
          <w:sz w:val="28"/>
          <w:u w:val="single"/>
        </w:rPr>
        <w:t xml:space="preserve"> Guidance</w:t>
      </w:r>
    </w:p>
    <w:p w:rsidR="008909CC" w:rsidRPr="0030216A" w:rsidRDefault="008909CC" w:rsidP="008909C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0216A">
        <w:rPr>
          <w:rFonts w:asciiTheme="minorHAnsi" w:hAnsiTheme="minorHAnsi"/>
          <w:b/>
          <w:bCs/>
          <w:sz w:val="22"/>
          <w:szCs w:val="22"/>
        </w:rPr>
        <w:t xml:space="preserve">Key points: </w:t>
      </w:r>
    </w:p>
    <w:p w:rsidR="008909CC" w:rsidRPr="0030216A" w:rsidRDefault="008909CC" w:rsidP="008909CC">
      <w:pPr>
        <w:pStyle w:val="Default"/>
        <w:numPr>
          <w:ilvl w:val="0"/>
          <w:numId w:val="2"/>
        </w:numPr>
        <w:spacing w:after="68" w:line="360" w:lineRule="auto"/>
        <w:rPr>
          <w:b/>
          <w:sz w:val="22"/>
          <w:szCs w:val="22"/>
          <w:u w:val="single"/>
        </w:rPr>
      </w:pPr>
      <w:r w:rsidRPr="0030216A">
        <w:rPr>
          <w:rFonts w:asciiTheme="minorHAnsi" w:hAnsiTheme="minorHAnsi"/>
          <w:sz w:val="22"/>
          <w:szCs w:val="22"/>
        </w:rPr>
        <w:t xml:space="preserve">Patients with COVID-19 are at </w:t>
      </w:r>
      <w:r w:rsidRPr="008909CC">
        <w:rPr>
          <w:rFonts w:asciiTheme="minorHAnsi" w:hAnsiTheme="minorHAnsi"/>
          <w:b/>
          <w:sz w:val="22"/>
          <w:szCs w:val="22"/>
        </w:rPr>
        <w:t>high</w:t>
      </w:r>
      <w:r w:rsidRPr="0030216A">
        <w:rPr>
          <w:rFonts w:asciiTheme="minorHAnsi" w:hAnsiTheme="minorHAnsi"/>
          <w:sz w:val="22"/>
          <w:szCs w:val="22"/>
        </w:rPr>
        <w:t xml:space="preserve"> VTE risk. </w:t>
      </w:r>
      <w:r w:rsidRPr="0030216A">
        <w:rPr>
          <w:rFonts w:asciiTheme="minorHAnsi" w:hAnsiTheme="minorHAnsi"/>
          <w:b/>
          <w:bCs/>
          <w:sz w:val="22"/>
          <w:szCs w:val="22"/>
        </w:rPr>
        <w:t>All patients should have VTE risk assessment and pharmacological prophylaxis administered within 14h of admission unless contraindicated</w:t>
      </w:r>
      <w:r w:rsidRPr="0030216A">
        <w:rPr>
          <w:rFonts w:asciiTheme="minorHAnsi" w:hAnsiTheme="minorHAnsi"/>
          <w:sz w:val="22"/>
          <w:szCs w:val="22"/>
        </w:rPr>
        <w:t xml:space="preserve">. There is evidence to support survival advantage in patients who received </w:t>
      </w:r>
      <w:proofErr w:type="spellStart"/>
      <w:r w:rsidRPr="0030216A">
        <w:rPr>
          <w:rFonts w:asciiTheme="minorHAnsi" w:hAnsiTheme="minorHAnsi"/>
          <w:sz w:val="22"/>
          <w:szCs w:val="22"/>
        </w:rPr>
        <w:t>thromboprophylaxis</w:t>
      </w:r>
      <w:proofErr w:type="spellEnd"/>
      <w:r w:rsidRPr="0030216A">
        <w:rPr>
          <w:rFonts w:asciiTheme="minorHAnsi" w:hAnsiTheme="minorHAnsi"/>
          <w:sz w:val="22"/>
          <w:szCs w:val="22"/>
        </w:rPr>
        <w:t xml:space="preserve">. </w:t>
      </w:r>
    </w:p>
    <w:p w:rsidR="00115C78" w:rsidRDefault="00115C78" w:rsidP="008909CC">
      <w:pPr>
        <w:pStyle w:val="Default"/>
        <w:spacing w:after="68" w:line="360" w:lineRule="auto"/>
        <w:rPr>
          <w:rFonts w:asciiTheme="minorHAnsi" w:hAnsiTheme="minorHAnsi"/>
          <w:b/>
          <w:sz w:val="22"/>
          <w:szCs w:val="22"/>
        </w:rPr>
      </w:pPr>
    </w:p>
    <w:p w:rsidR="008909CC" w:rsidRDefault="008909CC" w:rsidP="008909CC">
      <w:pPr>
        <w:pStyle w:val="Default"/>
        <w:spacing w:after="68" w:line="360" w:lineRule="auto"/>
        <w:rPr>
          <w:rFonts w:asciiTheme="minorHAnsi" w:hAnsiTheme="minorHAnsi"/>
          <w:b/>
          <w:sz w:val="22"/>
          <w:szCs w:val="22"/>
        </w:rPr>
      </w:pPr>
      <w:r w:rsidRPr="0030216A">
        <w:rPr>
          <w:rFonts w:asciiTheme="minorHAnsi" w:hAnsiTheme="minorHAnsi"/>
          <w:b/>
          <w:sz w:val="22"/>
          <w:szCs w:val="22"/>
        </w:rPr>
        <w:t>Recommendations:</w:t>
      </w:r>
    </w:p>
    <w:p w:rsidR="008909CC" w:rsidRPr="00F90ED9" w:rsidRDefault="008909CC" w:rsidP="008909CC">
      <w:pPr>
        <w:pStyle w:val="Default"/>
        <w:spacing w:after="68"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F90ED9">
        <w:rPr>
          <w:rFonts w:asciiTheme="minorHAnsi" w:hAnsiTheme="minorHAnsi"/>
          <w:b/>
          <w:sz w:val="22"/>
          <w:szCs w:val="22"/>
          <w:u w:val="single"/>
        </w:rPr>
        <w:t>On admission</w:t>
      </w:r>
    </w:p>
    <w:p w:rsidR="008909CC" w:rsidRPr="0030216A" w:rsidRDefault="008909CC" w:rsidP="008909CC">
      <w:pPr>
        <w:pStyle w:val="Default"/>
        <w:numPr>
          <w:ilvl w:val="0"/>
          <w:numId w:val="3"/>
        </w:numPr>
        <w:spacing w:after="68" w:line="360" w:lineRule="auto"/>
        <w:rPr>
          <w:sz w:val="22"/>
          <w:szCs w:val="22"/>
        </w:rPr>
      </w:pPr>
      <w:r w:rsidRPr="0030216A">
        <w:rPr>
          <w:rFonts w:asciiTheme="minorHAnsi" w:hAnsiTheme="minorHAnsi"/>
          <w:sz w:val="22"/>
          <w:szCs w:val="22"/>
        </w:rPr>
        <w:t>On admission perform VTE risk assessment as per Trust guidelines</w:t>
      </w:r>
    </w:p>
    <w:p w:rsidR="008909CC" w:rsidRPr="00F90ED9" w:rsidRDefault="008909CC" w:rsidP="008909CC">
      <w:pPr>
        <w:pStyle w:val="Default"/>
        <w:numPr>
          <w:ilvl w:val="0"/>
          <w:numId w:val="3"/>
        </w:numPr>
        <w:spacing w:after="68" w:line="360" w:lineRule="auto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Prescribe/administer pharmacological </w:t>
      </w:r>
      <w:proofErr w:type="spellStart"/>
      <w:r>
        <w:rPr>
          <w:rFonts w:asciiTheme="minorHAnsi" w:hAnsiTheme="minorHAnsi"/>
          <w:sz w:val="22"/>
          <w:szCs w:val="22"/>
        </w:rPr>
        <w:t>thromboprophylaxis</w:t>
      </w:r>
      <w:proofErr w:type="spellEnd"/>
      <w:r>
        <w:rPr>
          <w:rFonts w:asciiTheme="minorHAnsi" w:hAnsiTheme="minorHAnsi"/>
          <w:sz w:val="22"/>
          <w:szCs w:val="22"/>
        </w:rPr>
        <w:t xml:space="preserve"> as per Trust guidelines</w:t>
      </w:r>
    </w:p>
    <w:p w:rsidR="008909CC" w:rsidRDefault="008909CC" w:rsidP="008909CC">
      <w:pPr>
        <w:pStyle w:val="Default"/>
        <w:spacing w:after="68" w:line="360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Once confirmed COVID-19 positive</w:t>
      </w:r>
    </w:p>
    <w:p w:rsidR="008909CC" w:rsidRPr="00F90ED9" w:rsidRDefault="008909CC" w:rsidP="008909CC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90ED9">
        <w:rPr>
          <w:rFonts w:asciiTheme="minorHAnsi" w:hAnsiTheme="minorHAnsi"/>
          <w:sz w:val="22"/>
          <w:szCs w:val="22"/>
        </w:rPr>
        <w:t xml:space="preserve">Prescribe pharmacological </w:t>
      </w:r>
      <w:proofErr w:type="spellStart"/>
      <w:r w:rsidRPr="00F90ED9">
        <w:rPr>
          <w:rFonts w:asciiTheme="minorHAnsi" w:hAnsiTheme="minorHAnsi"/>
          <w:sz w:val="22"/>
          <w:szCs w:val="22"/>
        </w:rPr>
        <w:t>thromboprophylaxis</w:t>
      </w:r>
      <w:proofErr w:type="spellEnd"/>
      <w:r w:rsidRPr="00F90ED9">
        <w:rPr>
          <w:rFonts w:asciiTheme="minorHAnsi" w:hAnsiTheme="minorHAnsi"/>
          <w:sz w:val="22"/>
          <w:szCs w:val="22"/>
        </w:rPr>
        <w:t xml:space="preserve"> if </w:t>
      </w:r>
      <w:r w:rsidRPr="00F90ED9">
        <w:rPr>
          <w:rFonts w:asciiTheme="minorHAnsi" w:hAnsiTheme="minorHAnsi"/>
          <w:b/>
          <w:bCs/>
          <w:sz w:val="22"/>
          <w:szCs w:val="22"/>
        </w:rPr>
        <w:t>platelets &gt;50x10</w:t>
      </w:r>
      <w:r w:rsidRPr="00F90ED9">
        <w:rPr>
          <w:rFonts w:asciiTheme="minorHAnsi" w:hAnsiTheme="minorHAnsi"/>
          <w:b/>
          <w:bCs/>
          <w:sz w:val="22"/>
          <w:szCs w:val="22"/>
          <w:vertAlign w:val="superscript"/>
        </w:rPr>
        <w:t>9</w:t>
      </w:r>
      <w:r w:rsidRPr="00F90ED9">
        <w:rPr>
          <w:rFonts w:asciiTheme="minorHAnsi" w:hAnsiTheme="minorHAnsi"/>
          <w:b/>
          <w:bCs/>
          <w:sz w:val="22"/>
          <w:szCs w:val="22"/>
        </w:rPr>
        <w:t xml:space="preserve">/L </w:t>
      </w:r>
      <w:r w:rsidRPr="00F90ED9">
        <w:rPr>
          <w:rFonts w:asciiTheme="minorHAnsi" w:hAnsiTheme="minorHAnsi"/>
          <w:sz w:val="22"/>
          <w:szCs w:val="22"/>
        </w:rPr>
        <w:t xml:space="preserve">unless other contraindications (e.g. active bleeding, invasive procedure planned within 12h, prescribed and taking therapeutic anticoagulation, fibrinogen &lt;1.0g/l). </w:t>
      </w:r>
    </w:p>
    <w:p w:rsidR="008909CC" w:rsidRDefault="008909CC" w:rsidP="008909C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F90ED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F90ED9">
        <w:rPr>
          <w:rFonts w:asciiTheme="minorHAnsi" w:hAnsiTheme="minorHAnsi"/>
          <w:b/>
          <w:sz w:val="22"/>
          <w:szCs w:val="22"/>
        </w:rPr>
        <w:t>Note</w:t>
      </w:r>
      <w:r w:rsidRPr="00F90ED9">
        <w:rPr>
          <w:rFonts w:asciiTheme="minorHAnsi" w:hAnsiTheme="minorHAnsi"/>
          <w:sz w:val="22"/>
          <w:szCs w:val="22"/>
        </w:rPr>
        <w:t xml:space="preserve"> abnormal </w:t>
      </w:r>
      <w:r>
        <w:rPr>
          <w:rFonts w:asciiTheme="minorHAnsi" w:hAnsiTheme="minorHAnsi"/>
          <w:sz w:val="22"/>
          <w:szCs w:val="22"/>
        </w:rPr>
        <w:t>INR</w:t>
      </w:r>
      <w:r w:rsidRPr="00F90ED9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A</w:t>
      </w:r>
      <w:r w:rsidRPr="00F90ED9">
        <w:rPr>
          <w:rFonts w:asciiTheme="minorHAnsi" w:hAnsiTheme="minorHAnsi"/>
          <w:sz w:val="22"/>
          <w:szCs w:val="22"/>
        </w:rPr>
        <w:t xml:space="preserve">PTT alone is </w:t>
      </w:r>
      <w:r w:rsidRPr="00F90ED9">
        <w:rPr>
          <w:rFonts w:asciiTheme="minorHAnsi" w:hAnsiTheme="minorHAnsi"/>
          <w:b/>
          <w:bCs/>
          <w:sz w:val="22"/>
          <w:szCs w:val="22"/>
        </w:rPr>
        <w:t xml:space="preserve">NOT </w:t>
      </w:r>
      <w:r w:rsidRPr="00F90ED9">
        <w:rPr>
          <w:rFonts w:asciiTheme="minorHAnsi" w:hAnsiTheme="minorHAnsi"/>
          <w:sz w:val="22"/>
          <w:szCs w:val="22"/>
        </w:rPr>
        <w:t>a contraindication to prophylactic anticoagulation</w:t>
      </w:r>
    </w:p>
    <w:p w:rsidR="008909CC" w:rsidRDefault="008909CC" w:rsidP="008909CC">
      <w:pPr>
        <w:pStyle w:val="NormalWeb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C7D46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All completely </w:t>
      </w:r>
      <w:proofErr w:type="spellStart"/>
      <w:r w:rsidRPr="005C7D46">
        <w:rPr>
          <w:rFonts w:asciiTheme="minorHAnsi" w:hAnsiTheme="minorHAnsi" w:cs="Helvetica"/>
          <w:color w:val="333333"/>
          <w:sz w:val="22"/>
          <w:szCs w:val="22"/>
          <w:lang w:val="en"/>
        </w:rPr>
        <w:t>immobilised</w:t>
      </w:r>
      <w:proofErr w:type="spellEnd"/>
      <w:r w:rsidRPr="005C7D46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patients would benefit from intermittent pneumatic compression in addition to pharmacological </w:t>
      </w:r>
      <w:proofErr w:type="spellStart"/>
      <w:r w:rsidRPr="005C7D46">
        <w:rPr>
          <w:rFonts w:asciiTheme="minorHAnsi" w:hAnsiTheme="minorHAnsi" w:cs="Helvetica"/>
          <w:color w:val="333333"/>
          <w:sz w:val="22"/>
          <w:szCs w:val="22"/>
          <w:lang w:val="en"/>
        </w:rPr>
        <w:t>thromboprophylaxis</w:t>
      </w:r>
      <w:proofErr w:type="spellEnd"/>
      <w:r w:rsidRPr="005A5264">
        <w:rPr>
          <w:rFonts w:asciiTheme="minorHAnsi" w:hAnsiTheme="minorHAnsi"/>
          <w:sz w:val="22"/>
          <w:szCs w:val="22"/>
        </w:rPr>
        <w:t xml:space="preserve"> </w:t>
      </w:r>
    </w:p>
    <w:p w:rsidR="008909CC" w:rsidRPr="005A5264" w:rsidRDefault="008909CC" w:rsidP="008909CC">
      <w:pPr>
        <w:pStyle w:val="NormalWeb"/>
        <w:numPr>
          <w:ilvl w:val="0"/>
          <w:numId w:val="5"/>
        </w:numPr>
        <w:spacing w:line="360" w:lineRule="auto"/>
        <w:rPr>
          <w:rFonts w:asciiTheme="minorHAnsi" w:hAnsiTheme="minorHAnsi" w:cs="Helvetica"/>
          <w:color w:val="333333"/>
          <w:sz w:val="22"/>
          <w:szCs w:val="22"/>
          <w:lang w:val="en"/>
        </w:rPr>
      </w:pPr>
      <w:r w:rsidRPr="005A5264">
        <w:rPr>
          <w:rFonts w:asciiTheme="minorHAnsi" w:hAnsiTheme="minorHAnsi"/>
          <w:sz w:val="22"/>
          <w:szCs w:val="22"/>
        </w:rPr>
        <w:lastRenderedPageBreak/>
        <w:t xml:space="preserve">In patients at high VTE risk (e.g. previous VTE within last 3 months, or previous VTE on anticoagulation, or underlying malignancy) in the absence of bleeding a </w:t>
      </w:r>
      <w:r w:rsidRPr="005A5264">
        <w:rPr>
          <w:rFonts w:asciiTheme="minorHAnsi" w:hAnsiTheme="minorHAnsi"/>
          <w:b/>
          <w:bCs/>
          <w:sz w:val="22"/>
          <w:szCs w:val="22"/>
        </w:rPr>
        <w:t>lower platelet threshold &gt;30 x10</w:t>
      </w:r>
      <w:r w:rsidRPr="005A5264">
        <w:rPr>
          <w:rFonts w:asciiTheme="minorHAnsi" w:hAnsiTheme="minorHAnsi"/>
          <w:b/>
          <w:bCs/>
          <w:sz w:val="18"/>
          <w:szCs w:val="22"/>
          <w:vertAlign w:val="superscript"/>
        </w:rPr>
        <w:t>9</w:t>
      </w:r>
      <w:r w:rsidRPr="005A5264">
        <w:rPr>
          <w:rFonts w:asciiTheme="minorHAnsi" w:hAnsiTheme="minorHAnsi"/>
          <w:b/>
          <w:bCs/>
          <w:sz w:val="22"/>
          <w:szCs w:val="22"/>
        </w:rPr>
        <w:t xml:space="preserve">/L </w:t>
      </w:r>
      <w:r w:rsidRPr="005A5264">
        <w:rPr>
          <w:rFonts w:asciiTheme="minorHAnsi" w:hAnsiTheme="minorHAnsi"/>
          <w:sz w:val="22"/>
          <w:szCs w:val="22"/>
        </w:rPr>
        <w:t>is considered safe to give prophylactic dose anticoagulation. If in doubt please discuss with haematology consultant</w:t>
      </w:r>
      <w:r w:rsidRPr="005A5264">
        <w:rPr>
          <w:rFonts w:asciiTheme="minorHAnsi" w:hAnsiTheme="minorHAnsi" w:cs="Helvetica"/>
          <w:color w:val="333333"/>
          <w:sz w:val="22"/>
          <w:szCs w:val="22"/>
          <w:lang w:val="en"/>
        </w:rPr>
        <w:t>.</w:t>
      </w:r>
    </w:p>
    <w:p w:rsidR="008909CC" w:rsidRPr="005A5264" w:rsidRDefault="008909CC" w:rsidP="008909CC">
      <w:pPr>
        <w:pStyle w:val="NormalWeb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C7D46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Mechanical </w:t>
      </w:r>
      <w:proofErr w:type="spellStart"/>
      <w:r w:rsidRPr="005C7D46">
        <w:rPr>
          <w:rFonts w:asciiTheme="minorHAnsi" w:hAnsiTheme="minorHAnsi" w:cs="Helvetica"/>
          <w:color w:val="333333"/>
          <w:sz w:val="22"/>
          <w:szCs w:val="22"/>
          <w:lang w:val="en"/>
        </w:rPr>
        <w:t>thromboprophylaxis</w:t>
      </w:r>
      <w:proofErr w:type="spellEnd"/>
      <w:r w:rsidRPr="005C7D46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should be used alone if platelets &lt;30</w:t>
      </w:r>
      <w:r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</w:t>
      </w:r>
      <w:r w:rsidRPr="005A5264">
        <w:rPr>
          <w:rFonts w:asciiTheme="minorHAnsi" w:hAnsiTheme="minorHAnsi"/>
          <w:bCs/>
          <w:sz w:val="22"/>
          <w:szCs w:val="22"/>
        </w:rPr>
        <w:t>x10</w:t>
      </w:r>
      <w:r w:rsidRPr="005A5264">
        <w:rPr>
          <w:rFonts w:asciiTheme="minorHAnsi" w:hAnsiTheme="minorHAnsi"/>
          <w:bCs/>
          <w:sz w:val="18"/>
          <w:szCs w:val="22"/>
          <w:vertAlign w:val="superscript"/>
        </w:rPr>
        <w:t>9</w:t>
      </w:r>
      <w:r w:rsidRPr="005A5264">
        <w:rPr>
          <w:rFonts w:asciiTheme="minorHAnsi" w:hAnsiTheme="minorHAnsi"/>
          <w:bCs/>
          <w:sz w:val="22"/>
          <w:szCs w:val="22"/>
        </w:rPr>
        <w:t>/L</w:t>
      </w:r>
      <w:r w:rsidRPr="005C7D46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or bleeding</w:t>
      </w:r>
    </w:p>
    <w:p w:rsidR="008909CC" w:rsidRPr="005A5264" w:rsidRDefault="008909CC" w:rsidP="008909CC">
      <w:pPr>
        <w:pStyle w:val="NormalWeb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A5264">
        <w:rPr>
          <w:rFonts w:asciiTheme="minorHAnsi" w:hAnsiTheme="minorHAnsi" w:cs="Helvetica"/>
          <w:b/>
          <w:color w:val="333333"/>
          <w:sz w:val="22"/>
          <w:szCs w:val="22"/>
          <w:lang w:val="en"/>
        </w:rPr>
        <w:t>Consider</w:t>
      </w:r>
      <w:r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switching patients already on oral anticoagulants (warfarin or DOACs) for e.g. stroke prevention or previous VTE to LMWH because of lower risk of drug interactions</w:t>
      </w:r>
    </w:p>
    <w:p w:rsidR="008909CC" w:rsidRPr="005A5264" w:rsidRDefault="008909CC" w:rsidP="008909CC">
      <w:pPr>
        <w:pStyle w:val="NormalWeb"/>
        <w:numPr>
          <w:ilvl w:val="0"/>
          <w:numId w:val="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5A5264">
        <w:rPr>
          <w:rFonts w:asciiTheme="minorHAnsi" w:hAnsiTheme="minorHAnsi" w:cs="Helvetica"/>
          <w:b/>
          <w:color w:val="333333"/>
          <w:sz w:val="22"/>
          <w:szCs w:val="22"/>
          <w:lang w:val="en"/>
        </w:rPr>
        <w:t xml:space="preserve">Consider </w:t>
      </w:r>
      <w:r>
        <w:rPr>
          <w:rFonts w:asciiTheme="minorHAnsi" w:hAnsiTheme="minorHAnsi" w:cs="Helvetica"/>
          <w:color w:val="333333"/>
          <w:sz w:val="22"/>
          <w:szCs w:val="22"/>
          <w:lang w:val="en"/>
        </w:rPr>
        <w:t>possibility of pulmonary embolism (PE) in patients with sudden onset of oxygen desaturation, respiratory distress or hypotension</w:t>
      </w:r>
    </w:p>
    <w:p w:rsidR="008909CC" w:rsidRDefault="008909CC" w:rsidP="008909CC">
      <w:pPr>
        <w:pStyle w:val="Default"/>
        <w:spacing w:after="68" w:line="360" w:lineRule="auto"/>
        <w:ind w:left="720" w:hanging="72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Thereafter</w:t>
      </w:r>
    </w:p>
    <w:p w:rsidR="008909CC" w:rsidRPr="006D3740" w:rsidRDefault="008909CC" w:rsidP="008909CC">
      <w:pPr>
        <w:pStyle w:val="Default"/>
        <w:numPr>
          <w:ilvl w:val="0"/>
          <w:numId w:val="4"/>
        </w:numPr>
        <w:spacing w:after="68" w:line="360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Reassess VTE risk regularly and especially if there is a change in clinical condition.</w:t>
      </w:r>
    </w:p>
    <w:p w:rsidR="008909CC" w:rsidRDefault="008909CC" w:rsidP="008909CC">
      <w:pPr>
        <w:pStyle w:val="Default"/>
        <w:spacing w:after="68" w:line="360" w:lineRule="auto"/>
        <w:rPr>
          <w:rFonts w:asciiTheme="minorHAnsi" w:hAnsiTheme="minorHAnsi"/>
          <w:sz w:val="22"/>
          <w:szCs w:val="22"/>
        </w:rPr>
      </w:pPr>
    </w:p>
    <w:p w:rsidR="008909CC" w:rsidRPr="006D3740" w:rsidRDefault="008909CC" w:rsidP="008909CC">
      <w:pPr>
        <w:pStyle w:val="Default"/>
        <w:spacing w:after="68" w:line="360" w:lineRule="auto"/>
        <w:rPr>
          <w:rFonts w:asciiTheme="minorHAnsi" w:hAnsiTheme="minorHAnsi"/>
          <w:b/>
          <w:sz w:val="16"/>
          <w:szCs w:val="16"/>
          <w:u w:val="single"/>
        </w:rPr>
      </w:pPr>
      <w:r w:rsidRPr="006D3740">
        <w:rPr>
          <w:rFonts w:asciiTheme="minorHAnsi" w:hAnsiTheme="minorHAnsi" w:cs="Helvetica"/>
          <w:sz w:val="16"/>
          <w:szCs w:val="16"/>
          <w:lang w:val="en"/>
        </w:rPr>
        <w:t xml:space="preserve">Hunt B, </w:t>
      </w:r>
      <w:proofErr w:type="spellStart"/>
      <w:r w:rsidRPr="006D3740">
        <w:rPr>
          <w:rFonts w:asciiTheme="minorHAnsi" w:hAnsiTheme="minorHAnsi" w:cs="Helvetica"/>
          <w:sz w:val="16"/>
          <w:szCs w:val="16"/>
          <w:lang w:val="en"/>
        </w:rPr>
        <w:t>Retter</w:t>
      </w:r>
      <w:proofErr w:type="spellEnd"/>
      <w:r w:rsidRPr="006D3740">
        <w:rPr>
          <w:rFonts w:asciiTheme="minorHAnsi" w:hAnsiTheme="minorHAnsi" w:cs="Helvetica"/>
          <w:sz w:val="16"/>
          <w:szCs w:val="16"/>
          <w:lang w:val="en"/>
        </w:rPr>
        <w:t xml:space="preserve"> A, McClintock C. 2020. Practical guidance for the prevention of thrombosis and management of coagulopathy and disseminated intravascular coagulation of patients infected with COVID-19</w:t>
      </w:r>
      <w:r w:rsidRPr="006D3740">
        <w:rPr>
          <w:rFonts w:asciiTheme="minorHAnsi" w:hAnsiTheme="minorHAnsi"/>
          <w:b/>
          <w:sz w:val="16"/>
          <w:szCs w:val="16"/>
          <w:u w:val="single"/>
        </w:rPr>
        <w:t xml:space="preserve"> https://thrombosisuk.org/covid-19-thrombosis.php</w:t>
      </w:r>
    </w:p>
    <w:p w:rsidR="008909CC" w:rsidRDefault="008909CC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CB7B66" w:rsidRPr="006C03BB" w:rsidRDefault="00CB7B66" w:rsidP="00CB7B66">
      <w:pPr>
        <w:rPr>
          <w:b/>
          <w:sz w:val="28"/>
          <w:u w:val="single"/>
        </w:rPr>
      </w:pPr>
      <w:r w:rsidRPr="006C03BB">
        <w:rPr>
          <w:b/>
          <w:sz w:val="28"/>
          <w:u w:val="single"/>
        </w:rPr>
        <w:lastRenderedPageBreak/>
        <w:t xml:space="preserve">COVID-19 Related </w:t>
      </w:r>
      <w:proofErr w:type="spellStart"/>
      <w:r w:rsidRPr="006C03BB">
        <w:rPr>
          <w:b/>
          <w:sz w:val="28"/>
          <w:u w:val="single"/>
        </w:rPr>
        <w:t>Haemophagocytic</w:t>
      </w:r>
      <w:proofErr w:type="spellEnd"/>
      <w:r w:rsidRPr="006C03BB">
        <w:rPr>
          <w:b/>
          <w:sz w:val="28"/>
          <w:u w:val="single"/>
        </w:rPr>
        <w:t xml:space="preserve"> </w:t>
      </w:r>
      <w:proofErr w:type="spellStart"/>
      <w:r w:rsidRPr="006C03BB">
        <w:rPr>
          <w:b/>
          <w:sz w:val="28"/>
          <w:u w:val="single"/>
        </w:rPr>
        <w:t>Lymphohistiocytosis</w:t>
      </w:r>
      <w:proofErr w:type="spellEnd"/>
    </w:p>
    <w:p w:rsidR="00CB7B66" w:rsidRDefault="00CB7B66" w:rsidP="00CB7B66">
      <w:r>
        <w:t xml:space="preserve">Reactive or secondary </w:t>
      </w:r>
      <w:proofErr w:type="spellStart"/>
      <w:r>
        <w:t>haemophagocytic</w:t>
      </w:r>
      <w:proofErr w:type="spellEnd"/>
      <w:r>
        <w:t xml:space="preserve"> </w:t>
      </w:r>
      <w:proofErr w:type="spellStart"/>
      <w:r>
        <w:t>lymphohistiocytosis</w:t>
      </w:r>
      <w:proofErr w:type="spellEnd"/>
      <w:r>
        <w:t xml:space="preserve"> (HLH) is an </w:t>
      </w:r>
      <w:proofErr w:type="spellStart"/>
      <w:r>
        <w:t>underecognised</w:t>
      </w:r>
      <w:proofErr w:type="spellEnd"/>
      <w:r>
        <w:t xml:space="preserve"> </w:t>
      </w:r>
      <w:proofErr w:type="spellStart"/>
      <w:r>
        <w:t>hyperinflammatory</w:t>
      </w:r>
      <w:proofErr w:type="spellEnd"/>
      <w:r>
        <w:t xml:space="preserve"> syndrome caused by excessive immune activation. This results in </w:t>
      </w:r>
      <w:proofErr w:type="spellStart"/>
      <w:r>
        <w:t>hypercytokinaemia</w:t>
      </w:r>
      <w:proofErr w:type="spellEnd"/>
      <w:r>
        <w:t xml:space="preserve"> and </w:t>
      </w:r>
      <w:proofErr w:type="spellStart"/>
      <w:r>
        <w:t>haemophagocytosis</w:t>
      </w:r>
      <w:proofErr w:type="spellEnd"/>
      <w:r>
        <w:t>, and is typically characterised by:</w:t>
      </w:r>
    </w:p>
    <w:p w:rsidR="00CB7B66" w:rsidRDefault="00CB7B66" w:rsidP="00CB7B66">
      <w:pPr>
        <w:pStyle w:val="ListParagraph"/>
        <w:numPr>
          <w:ilvl w:val="0"/>
          <w:numId w:val="1"/>
        </w:numPr>
      </w:pPr>
      <w:r>
        <w:t>Persistent fever</w:t>
      </w:r>
    </w:p>
    <w:p w:rsidR="00CB7B66" w:rsidRDefault="00CB7B66" w:rsidP="00CB7B66">
      <w:pPr>
        <w:pStyle w:val="ListParagraph"/>
        <w:numPr>
          <w:ilvl w:val="0"/>
          <w:numId w:val="1"/>
        </w:numPr>
      </w:pPr>
      <w:r>
        <w:t>Cytopenias</w:t>
      </w:r>
    </w:p>
    <w:p w:rsidR="00CB7B66" w:rsidRDefault="00CB7B66" w:rsidP="00CB7B66">
      <w:pPr>
        <w:pStyle w:val="ListParagraph"/>
        <w:numPr>
          <w:ilvl w:val="0"/>
          <w:numId w:val="1"/>
        </w:numPr>
      </w:pPr>
      <w:proofErr w:type="spellStart"/>
      <w:r>
        <w:t>Hyperferritinaemia</w:t>
      </w:r>
      <w:proofErr w:type="spellEnd"/>
    </w:p>
    <w:p w:rsidR="00CB7B66" w:rsidRDefault="00CB7B66" w:rsidP="00CB7B66">
      <w:pPr>
        <w:pStyle w:val="ListParagraph"/>
        <w:numPr>
          <w:ilvl w:val="0"/>
          <w:numId w:val="1"/>
        </w:numPr>
      </w:pPr>
      <w:r>
        <w:t>Hyperfibrinogenaemia</w:t>
      </w:r>
    </w:p>
    <w:p w:rsidR="00CB7B66" w:rsidRDefault="00CB7B66" w:rsidP="00CB7B66">
      <w:pPr>
        <w:pStyle w:val="ListParagraph"/>
        <w:numPr>
          <w:ilvl w:val="0"/>
          <w:numId w:val="1"/>
        </w:numPr>
      </w:pPr>
      <w:proofErr w:type="spellStart"/>
      <w:r>
        <w:t>Hypertriglyceridaemia</w:t>
      </w:r>
      <w:proofErr w:type="spellEnd"/>
    </w:p>
    <w:p w:rsidR="00CB7B66" w:rsidRDefault="00CB7B66" w:rsidP="00CB7B66">
      <w:pPr>
        <w:pStyle w:val="ListParagraph"/>
        <w:numPr>
          <w:ilvl w:val="0"/>
          <w:numId w:val="1"/>
        </w:numPr>
      </w:pPr>
      <w:r>
        <w:t>Hepatosplenomegaly</w:t>
      </w:r>
    </w:p>
    <w:p w:rsidR="00CB7B66" w:rsidRDefault="00CB7B66" w:rsidP="00CB7B66">
      <w:pPr>
        <w:pStyle w:val="ListParagraph"/>
        <w:numPr>
          <w:ilvl w:val="0"/>
          <w:numId w:val="1"/>
        </w:numPr>
      </w:pPr>
      <w:r>
        <w:t>(Multi-) organ failure</w:t>
      </w:r>
    </w:p>
    <w:p w:rsidR="00CB7B66" w:rsidRDefault="00CB7B66" w:rsidP="00CB7B66">
      <w:pPr>
        <w:pStyle w:val="ListParagraph"/>
        <w:numPr>
          <w:ilvl w:val="0"/>
          <w:numId w:val="1"/>
        </w:numPr>
      </w:pPr>
      <w:r>
        <w:t xml:space="preserve">Evidence of </w:t>
      </w:r>
      <w:proofErr w:type="spellStart"/>
      <w:r>
        <w:t>haemophagocytosis</w:t>
      </w:r>
      <w:proofErr w:type="spellEnd"/>
      <w:r>
        <w:t xml:space="preserve"> on tissue biopsy</w:t>
      </w:r>
    </w:p>
    <w:p w:rsidR="00CB7B66" w:rsidRDefault="00CB7B66" w:rsidP="00CB7B66">
      <w:r>
        <w:t>In a subset of COVID-19 patients, a cytokine storm consistent with or mimicking HLH has been identified, possibly as a predictor of worse outcomes.</w:t>
      </w:r>
    </w:p>
    <w:p w:rsidR="00CB7B66" w:rsidRDefault="00CB7B66" w:rsidP="00CB7B66">
      <w:r>
        <w:t>Suggested baseline investigations in addition to usual COVID investigations:</w:t>
      </w:r>
    </w:p>
    <w:p w:rsidR="00CB7B66" w:rsidRDefault="00CB7B66" w:rsidP="00CB7B66">
      <w:pPr>
        <w:pStyle w:val="ListParagraph"/>
        <w:numPr>
          <w:ilvl w:val="0"/>
          <w:numId w:val="1"/>
        </w:numPr>
      </w:pPr>
      <w:r>
        <w:t>FBC</w:t>
      </w:r>
    </w:p>
    <w:p w:rsidR="00CB7B66" w:rsidRDefault="00CB7B66" w:rsidP="00CB7B66">
      <w:pPr>
        <w:pStyle w:val="ListParagraph"/>
        <w:numPr>
          <w:ilvl w:val="0"/>
          <w:numId w:val="1"/>
        </w:numPr>
      </w:pPr>
      <w:r>
        <w:t>Clotting screen</w:t>
      </w:r>
    </w:p>
    <w:p w:rsidR="00CB7B66" w:rsidRDefault="00CB7B66" w:rsidP="00CB7B66">
      <w:pPr>
        <w:pStyle w:val="ListParagraph"/>
        <w:numPr>
          <w:ilvl w:val="0"/>
          <w:numId w:val="1"/>
        </w:numPr>
      </w:pPr>
      <w:r>
        <w:t>Fibrinogen</w:t>
      </w:r>
    </w:p>
    <w:p w:rsidR="00CB7B66" w:rsidRDefault="00CB7B66" w:rsidP="00CB7B66">
      <w:pPr>
        <w:pStyle w:val="ListParagraph"/>
        <w:numPr>
          <w:ilvl w:val="0"/>
          <w:numId w:val="1"/>
        </w:numPr>
      </w:pPr>
      <w:r>
        <w:t>LFT</w:t>
      </w:r>
    </w:p>
    <w:p w:rsidR="00CB7B66" w:rsidRDefault="00CB7B66" w:rsidP="00CB7B66">
      <w:pPr>
        <w:pStyle w:val="ListParagraph"/>
        <w:numPr>
          <w:ilvl w:val="0"/>
          <w:numId w:val="1"/>
        </w:numPr>
      </w:pPr>
      <w:r>
        <w:t>Ferritin</w:t>
      </w:r>
    </w:p>
    <w:p w:rsidR="00CB7B66" w:rsidRDefault="00CB7B66" w:rsidP="00CB7B66">
      <w:pPr>
        <w:pStyle w:val="ListParagraph"/>
        <w:numPr>
          <w:ilvl w:val="0"/>
          <w:numId w:val="1"/>
        </w:numPr>
      </w:pPr>
      <w:r>
        <w:t>LDH</w:t>
      </w:r>
    </w:p>
    <w:p w:rsidR="00CB7B66" w:rsidRDefault="00CB7B66" w:rsidP="00CB7B66">
      <w:pPr>
        <w:pStyle w:val="ListParagraph"/>
        <w:numPr>
          <w:ilvl w:val="0"/>
          <w:numId w:val="1"/>
        </w:numPr>
      </w:pPr>
      <w:r>
        <w:t>Triglycerides</w:t>
      </w:r>
    </w:p>
    <w:p w:rsidR="00CB7B66" w:rsidRDefault="006C03BB" w:rsidP="00CB7B66">
      <w:pPr>
        <w:pStyle w:val="ListParagraph"/>
        <w:numPr>
          <w:ilvl w:val="0"/>
          <w:numId w:val="1"/>
        </w:numPr>
      </w:pPr>
      <w:r>
        <w:t>Soluble CD25 on discussion with haematology</w:t>
      </w:r>
    </w:p>
    <w:p w:rsidR="00CB7B66" w:rsidRDefault="00CB7B66" w:rsidP="00CB7B66">
      <w:r>
        <w:t xml:space="preserve">These results can be used to calculate the </w:t>
      </w:r>
      <w:proofErr w:type="spellStart"/>
      <w:r>
        <w:t>HScore</w:t>
      </w:r>
      <w:proofErr w:type="spellEnd"/>
      <w:r>
        <w:t>, to support the clinical decision making but should not be used to exclude HLH</w:t>
      </w:r>
      <w:r w:rsidR="003413DF">
        <w:t>:</w:t>
      </w:r>
    </w:p>
    <w:p w:rsidR="00CB7B66" w:rsidRDefault="00AB52FC" w:rsidP="00CB7B66">
      <w:hyperlink r:id="rId9" w:history="1">
        <w:r w:rsidR="00CB7B66" w:rsidRPr="00FA11AA">
          <w:rPr>
            <w:rStyle w:val="Hyperlink"/>
          </w:rPr>
          <w:t>https://www.mdcalc.com/hscore-reactive-hemophagocytic-syndrome</w:t>
        </w:r>
      </w:hyperlink>
    </w:p>
    <w:p w:rsidR="00CB7B66" w:rsidRDefault="00CB7B66" w:rsidP="00CB7B66">
      <w:r>
        <w:t>Investigations to exclude alternative secondary causes should be undertaken as directed by the haematology team.</w:t>
      </w:r>
    </w:p>
    <w:p w:rsidR="00CB7B66" w:rsidRDefault="00CB7B66" w:rsidP="00CB7B66">
      <w:r>
        <w:t>Usual treatment for secondary HLH is immunosuppression but concern has been raised about this in COVID-19 patients. Other options include IVIG or selective cytokine blockade although no standardised treatment has been agreed. Please discuss any case of possible HLH with the haematology consultant on-call.</w:t>
      </w:r>
    </w:p>
    <w:p w:rsidR="0069228D" w:rsidRDefault="0069228D">
      <w:pPr>
        <w:rPr>
          <w:color w:val="FF0000"/>
        </w:rPr>
      </w:pPr>
    </w:p>
    <w:p w:rsidR="006C03BB" w:rsidRPr="003413DF" w:rsidRDefault="006C03BB" w:rsidP="006C03BB">
      <w:pPr>
        <w:rPr>
          <w:i/>
          <w:sz w:val="16"/>
        </w:rPr>
      </w:pPr>
      <w:r w:rsidRPr="003413DF">
        <w:rPr>
          <w:sz w:val="16"/>
        </w:rPr>
        <w:t xml:space="preserve">Mehta P, </w:t>
      </w:r>
      <w:proofErr w:type="spellStart"/>
      <w:r w:rsidRPr="003413DF">
        <w:rPr>
          <w:sz w:val="16"/>
        </w:rPr>
        <w:t>McAuley</w:t>
      </w:r>
      <w:proofErr w:type="spellEnd"/>
      <w:r w:rsidRPr="003413DF">
        <w:rPr>
          <w:sz w:val="16"/>
        </w:rPr>
        <w:t xml:space="preserve"> D, Brown M,  Sanchez E, Tattersall R, Manson J. 2020. COVID-19: consider cytokine storm syndromes and immunosuppression. </w:t>
      </w:r>
      <w:r w:rsidRPr="003413DF">
        <w:rPr>
          <w:i/>
          <w:sz w:val="16"/>
        </w:rPr>
        <w:t xml:space="preserve"> The Lancet Volume 395, 1033-1034</w:t>
      </w:r>
    </w:p>
    <w:p w:rsidR="0069228D" w:rsidRDefault="0069228D">
      <w:pPr>
        <w:rPr>
          <w:color w:val="FF0000"/>
        </w:rPr>
      </w:pPr>
    </w:p>
    <w:p w:rsidR="003413DF" w:rsidRDefault="003413DF" w:rsidP="003413DF">
      <w:pPr>
        <w:rPr>
          <w:b/>
          <w:sz w:val="36"/>
          <w:u w:val="single"/>
        </w:rPr>
      </w:pPr>
    </w:p>
    <w:p w:rsidR="0069228D" w:rsidRPr="0069228D" w:rsidRDefault="0069228D">
      <w:pPr>
        <w:rPr>
          <w:color w:val="FF0000"/>
        </w:rPr>
      </w:pPr>
    </w:p>
    <w:sectPr w:rsidR="0069228D" w:rsidRPr="0069228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41" w:rsidRDefault="005A3541" w:rsidP="005A3541">
      <w:pPr>
        <w:spacing w:after="0" w:line="240" w:lineRule="auto"/>
      </w:pPr>
      <w:r>
        <w:separator/>
      </w:r>
    </w:p>
  </w:endnote>
  <w:endnote w:type="continuationSeparator" w:id="0">
    <w:p w:rsidR="005A3541" w:rsidRDefault="005A3541" w:rsidP="005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78" w:rsidRDefault="00115C78">
    <w:pPr>
      <w:pStyle w:val="Footer"/>
    </w:pPr>
    <w:r>
      <w:t>Dr James Milnthorpe, Dr Jonathan Cullis, Consultant Haematologists 01.04.2020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41" w:rsidRDefault="005A3541" w:rsidP="005A3541">
      <w:pPr>
        <w:spacing w:after="0" w:line="240" w:lineRule="auto"/>
      </w:pPr>
      <w:r>
        <w:separator/>
      </w:r>
    </w:p>
  </w:footnote>
  <w:footnote w:type="continuationSeparator" w:id="0">
    <w:p w:rsidR="005A3541" w:rsidRDefault="005A3541" w:rsidP="005A3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DD7"/>
    <w:multiLevelType w:val="hybridMultilevel"/>
    <w:tmpl w:val="61A44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C7DBC"/>
    <w:multiLevelType w:val="hybridMultilevel"/>
    <w:tmpl w:val="2D129B0C"/>
    <w:lvl w:ilvl="0" w:tplc="0CA0C3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C75AA"/>
    <w:multiLevelType w:val="hybridMultilevel"/>
    <w:tmpl w:val="CBB68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960CD"/>
    <w:multiLevelType w:val="hybridMultilevel"/>
    <w:tmpl w:val="2714B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20852"/>
    <w:multiLevelType w:val="hybridMultilevel"/>
    <w:tmpl w:val="E3420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8D"/>
    <w:rsid w:val="00115C78"/>
    <w:rsid w:val="001E576F"/>
    <w:rsid w:val="00272302"/>
    <w:rsid w:val="003413DF"/>
    <w:rsid w:val="005A3541"/>
    <w:rsid w:val="005A5264"/>
    <w:rsid w:val="005C7D46"/>
    <w:rsid w:val="0069228D"/>
    <w:rsid w:val="006C03BB"/>
    <w:rsid w:val="006D3740"/>
    <w:rsid w:val="008909CC"/>
    <w:rsid w:val="00965008"/>
    <w:rsid w:val="00AB52FC"/>
    <w:rsid w:val="00C35B4F"/>
    <w:rsid w:val="00CB7B66"/>
    <w:rsid w:val="00E12C3E"/>
    <w:rsid w:val="00ED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1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B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B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541"/>
  </w:style>
  <w:style w:type="paragraph" w:styleId="Footer">
    <w:name w:val="footer"/>
    <w:basedOn w:val="Normal"/>
    <w:link w:val="FooterChar"/>
    <w:uiPriority w:val="99"/>
    <w:unhideWhenUsed/>
    <w:rsid w:val="005A3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541"/>
  </w:style>
  <w:style w:type="paragraph" w:styleId="NormalWeb">
    <w:name w:val="Normal (Web)"/>
    <w:basedOn w:val="Normal"/>
    <w:uiPriority w:val="99"/>
    <w:unhideWhenUsed/>
    <w:rsid w:val="005C7D46"/>
    <w:pPr>
      <w:spacing w:after="225" w:line="240" w:lineRule="auto"/>
    </w:pPr>
    <w:rPr>
      <w:rFonts w:ascii="Quicksand" w:eastAsia="Times New Roman" w:hAnsi="Quicksand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1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B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B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541"/>
  </w:style>
  <w:style w:type="paragraph" w:styleId="Footer">
    <w:name w:val="footer"/>
    <w:basedOn w:val="Normal"/>
    <w:link w:val="FooterChar"/>
    <w:uiPriority w:val="99"/>
    <w:unhideWhenUsed/>
    <w:rsid w:val="005A3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541"/>
  </w:style>
  <w:style w:type="paragraph" w:styleId="NormalWeb">
    <w:name w:val="Normal (Web)"/>
    <w:basedOn w:val="Normal"/>
    <w:uiPriority w:val="99"/>
    <w:unhideWhenUsed/>
    <w:rsid w:val="005C7D46"/>
    <w:pPr>
      <w:spacing w:after="225" w:line="240" w:lineRule="auto"/>
    </w:pPr>
    <w:rPr>
      <w:rFonts w:ascii="Quicksand" w:eastAsia="Times New Roman" w:hAnsi="Quicksand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2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dcalc.com/hscore-reactive-hemophagocytic-syndr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2020-04-03T11:13:00Z</dcterms:created>
  <dcterms:modified xsi:type="dcterms:W3CDTF">2020-04-03T11:13:00Z</dcterms:modified>
</cp:coreProperties>
</file>