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D1F" w:rsidRDefault="00154D1F" w:rsidP="00633B4A">
      <w:pPr>
        <w:jc w:val="center"/>
        <w:rPr>
          <w:b/>
          <w:sz w:val="32"/>
          <w:szCs w:val="32"/>
          <w:u w:val="single"/>
        </w:rPr>
      </w:pPr>
      <w:r>
        <w:rPr>
          <w:noProof/>
          <w:lang w:eastAsia="en-GB"/>
        </w:rPr>
        <mc:AlternateContent>
          <mc:Choice Requires="wps">
            <w:drawing>
              <wp:anchor distT="0" distB="0" distL="114300" distR="114300" simplePos="0" relativeHeight="251659264" behindDoc="0" locked="0" layoutInCell="1" allowOverlap="1" wp14:anchorId="5103ACAB" wp14:editId="15040985">
                <wp:simplePos x="0" y="0"/>
                <wp:positionH relativeFrom="column">
                  <wp:posOffset>3605048</wp:posOffset>
                </wp:positionH>
                <wp:positionV relativeFrom="paragraph">
                  <wp:posOffset>-788276</wp:posOffset>
                </wp:positionV>
                <wp:extent cx="2858814" cy="1040524"/>
                <wp:effectExtent l="0" t="0" r="1778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814" cy="1040524"/>
                        </a:xfrm>
                        <a:prstGeom prst="rect">
                          <a:avLst/>
                        </a:prstGeom>
                        <a:solidFill>
                          <a:srgbClr val="FFFFFF"/>
                        </a:solidFill>
                        <a:ln w="9525">
                          <a:solidFill>
                            <a:srgbClr val="000000"/>
                          </a:solidFill>
                          <a:miter lim="800000"/>
                          <a:headEnd/>
                          <a:tailEnd/>
                        </a:ln>
                      </wps:spPr>
                      <wps:txbx>
                        <w:txbxContent>
                          <w:p w:rsidR="00154D1F" w:rsidRDefault="00154D1F">
                            <w:r>
                              <w:t xml:space="preserve">Addressograph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3.85pt;margin-top:-62.05pt;width:225.1pt;height:8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">
                <v:textbox>
                  <w:txbxContent>
                    <w:p w:rsidR="00154D1F" w:rsidRDefault="00154D1F">
                      <w:r>
                        <w:t xml:space="preserve">Addressograph </w:t>
                      </w:r>
                    </w:p>
                  </w:txbxContent>
                </v:textbox>
              </v:shape>
            </w:pict>
          </mc:Fallback>
        </mc:AlternateContent>
      </w:r>
    </w:p>
    <w:p w:rsidR="006D745A" w:rsidRPr="00633B4A" w:rsidRDefault="006D745A" w:rsidP="00633B4A">
      <w:pPr>
        <w:jc w:val="center"/>
        <w:rPr>
          <w:b/>
          <w:sz w:val="32"/>
          <w:szCs w:val="32"/>
          <w:u w:val="single"/>
        </w:rPr>
      </w:pPr>
      <w:r w:rsidRPr="009930A0">
        <w:rPr>
          <w:b/>
          <w:sz w:val="32"/>
          <w:szCs w:val="32"/>
          <w:u w:val="single"/>
        </w:rPr>
        <w:t xml:space="preserve">Checklist for the de-isolation of </w:t>
      </w:r>
      <w:r w:rsidR="00154D1F">
        <w:rPr>
          <w:b/>
          <w:sz w:val="32"/>
          <w:szCs w:val="32"/>
          <w:u w:val="single"/>
        </w:rPr>
        <w:t xml:space="preserve">ward-based </w:t>
      </w:r>
      <w:r w:rsidR="00B042A4" w:rsidRPr="009930A0">
        <w:rPr>
          <w:b/>
          <w:sz w:val="32"/>
          <w:szCs w:val="32"/>
          <w:u w:val="single"/>
        </w:rPr>
        <w:t>previous COVID</w:t>
      </w:r>
      <w:r w:rsidR="00633B4A">
        <w:rPr>
          <w:b/>
          <w:sz w:val="32"/>
          <w:szCs w:val="32"/>
          <w:u w:val="single"/>
        </w:rPr>
        <w:t xml:space="preserve"> p</w:t>
      </w:r>
      <w:r w:rsidRPr="009930A0">
        <w:rPr>
          <w:b/>
          <w:sz w:val="32"/>
          <w:szCs w:val="32"/>
          <w:u w:val="single"/>
        </w:rPr>
        <w:t xml:space="preserve">ositive patients </w:t>
      </w:r>
    </w:p>
    <w:p w:rsidR="006D745A" w:rsidRPr="00212B11" w:rsidRDefault="00212B11" w:rsidP="006D745A">
      <w:r w:rsidRPr="00212B11">
        <w:t>Th</w:t>
      </w:r>
      <w:r w:rsidR="006D745A" w:rsidRPr="00212B11">
        <w:t xml:space="preserve">is checklist is based on PHE guidance and agreed by </w:t>
      </w:r>
      <w:r w:rsidR="00C07D30">
        <w:t>our local Infection Control Lead</w:t>
      </w:r>
    </w:p>
    <w:p w:rsidR="006D745A" w:rsidRDefault="006D745A" w:rsidP="006D745A">
      <w:r w:rsidRPr="006D745A">
        <w:t>For suspected or confirmed COVID-19 patients who require hospitalisation, IPC measures should continue until 14 days after their first</w:t>
      </w:r>
      <w:r w:rsidR="00933CA0">
        <w:t xml:space="preserve"> positive SARS-CoV-2 PCR test. After this, a patient may be de-isolated p</w:t>
      </w:r>
      <w:r w:rsidRPr="006D745A">
        <w:t>rovided the clinical improvem</w:t>
      </w:r>
      <w:r w:rsidR="00933CA0">
        <w:t xml:space="preserve">ent criteria below have been met. </w:t>
      </w:r>
    </w:p>
    <w:p w:rsidR="00154D1F" w:rsidRPr="003E50B4" w:rsidRDefault="00154D1F" w:rsidP="00154D1F">
      <w:r w:rsidRPr="003E50B4">
        <w:t>Patients who are severely immunocompromised are at high</w:t>
      </w:r>
      <w:r>
        <w:t>er risk</w:t>
      </w:r>
      <w:r w:rsidR="006F49DC">
        <w:t xml:space="preserve"> of ongoing infectiousness and therefore require a negative PCR test and to meet clinical improvement criteria before de-isolation </w:t>
      </w:r>
      <w:r>
        <w:t>(this includes patients</w:t>
      </w:r>
      <w:r w:rsidRPr="003E50B4">
        <w:t xml:space="preserve"> </w:t>
      </w:r>
      <w:r w:rsidR="006F49DC">
        <w:t xml:space="preserve">who have received </w:t>
      </w:r>
      <w:proofErr w:type="spellStart"/>
      <w:r w:rsidR="006F49DC">
        <w:t>T</w:t>
      </w:r>
      <w:r>
        <w:t>ociluzimab</w:t>
      </w:r>
      <w:proofErr w:type="spellEnd"/>
      <w:r w:rsidR="003F484F">
        <w:t xml:space="preserve"> or who are on </w:t>
      </w:r>
      <w:r w:rsidR="003F484F">
        <w:rPr>
          <w:rFonts w:cstheme="minorHAnsi"/>
        </w:rPr>
        <w:t>≥</w:t>
      </w:r>
      <w:r w:rsidR="003F484F">
        <w:t>40mg Prednisolone or equivalent</w:t>
      </w:r>
      <w:r w:rsidRPr="003E50B4">
        <w:t xml:space="preserve">).  </w:t>
      </w:r>
      <w:r w:rsidRPr="003E50B4">
        <w:tab/>
      </w:r>
      <w:r w:rsidRPr="003E50B4">
        <w:tab/>
      </w:r>
      <w:r w:rsidRPr="003E50B4">
        <w:tab/>
      </w:r>
    </w:p>
    <w:p w:rsidR="00154D1F" w:rsidRPr="00B042A4" w:rsidRDefault="00154D1F" w:rsidP="00154D1F">
      <w:pPr>
        <w:rPr>
          <w:b/>
        </w:rPr>
      </w:pPr>
      <w:r>
        <w:t>A cough or a loss of, or change in, normal sense of smell or taste (anosmia), may persist in some individuals for several weeks, and is not considered an indication of ongoing infection when other symptoms have resolved.</w:t>
      </w:r>
    </w:p>
    <w:p w:rsidR="006D745A" w:rsidRPr="006D745A" w:rsidRDefault="00933CA0" w:rsidP="006D745A">
      <w:r w:rsidRPr="00933CA0">
        <w:rPr>
          <w:b/>
          <w:sz w:val="32"/>
          <w:szCs w:val="32"/>
        </w:rPr>
        <w:t xml:space="preserve">Date of </w:t>
      </w:r>
      <w:r w:rsidR="003E50B4" w:rsidRPr="00933CA0">
        <w:rPr>
          <w:b/>
          <w:sz w:val="32"/>
          <w:szCs w:val="32"/>
        </w:rPr>
        <w:t xml:space="preserve">the </w:t>
      </w:r>
      <w:r w:rsidR="006D745A" w:rsidRPr="00933CA0">
        <w:rPr>
          <w:b/>
          <w:sz w:val="32"/>
          <w:szCs w:val="32"/>
        </w:rPr>
        <w:t>first</w:t>
      </w:r>
      <w:r w:rsidRPr="00933CA0">
        <w:rPr>
          <w:b/>
          <w:sz w:val="32"/>
          <w:szCs w:val="32"/>
        </w:rPr>
        <w:t xml:space="preserve"> positive SARS-CoV-2 PCR</w:t>
      </w:r>
      <w:proofErr w:type="gramStart"/>
      <w:r w:rsidR="00B042A4" w:rsidRPr="00933CA0">
        <w:rPr>
          <w:b/>
        </w:rPr>
        <w:t>:</w:t>
      </w:r>
      <w:r w:rsidR="006D745A">
        <w:t xml:space="preserve">  </w:t>
      </w:r>
      <w:r w:rsidR="006D745A">
        <w:tab/>
      </w:r>
      <w:r>
        <w:tab/>
      </w:r>
      <w:r w:rsidR="006D745A">
        <w:t>……………………………………….</w:t>
      </w:r>
      <w:r w:rsidR="00B042A4">
        <w:t>.</w:t>
      </w:r>
      <w:proofErr w:type="gramEnd"/>
    </w:p>
    <w:p w:rsidR="006F49DC" w:rsidRDefault="00212B11">
      <w:r w:rsidRPr="00B042A4">
        <w:rPr>
          <w:b/>
          <w:sz w:val="32"/>
          <w:szCs w:val="32"/>
        </w:rPr>
        <w:t>14 days have elapsed</w:t>
      </w:r>
      <w:r w:rsidR="00B042A4">
        <w:rPr>
          <w:b/>
          <w:sz w:val="32"/>
          <w:szCs w:val="32"/>
        </w:rPr>
        <w:t>:</w:t>
      </w:r>
      <w:r w:rsidR="006D745A">
        <w:tab/>
      </w:r>
      <w:r w:rsidR="006D745A">
        <w:tab/>
      </w:r>
      <w:r w:rsidR="003E50B4">
        <w:tab/>
      </w:r>
      <w:r w:rsidR="00933CA0">
        <w:tab/>
      </w:r>
      <w:r w:rsidR="00933CA0">
        <w:tab/>
      </w:r>
      <w:r w:rsidRPr="00212B11">
        <w:rPr>
          <w:b/>
        </w:rPr>
        <w:t>Y / N</w:t>
      </w:r>
      <w:r w:rsidR="006D745A">
        <w:tab/>
      </w:r>
      <w:r w:rsidR="006D745A">
        <w:tab/>
      </w:r>
    </w:p>
    <w:tbl>
      <w:tblPr>
        <w:tblStyle w:val="TableGrid"/>
        <w:tblW w:w="0" w:type="auto"/>
        <w:tblLook w:val="04A0" w:firstRow="1" w:lastRow="0" w:firstColumn="1" w:lastColumn="0" w:noHBand="0" w:noVBand="1"/>
      </w:tblPr>
      <w:tblGrid>
        <w:gridCol w:w="9242"/>
      </w:tblGrid>
      <w:tr w:rsidR="006F49DC" w:rsidTr="006F49DC">
        <w:tc>
          <w:tcPr>
            <w:tcW w:w="9242" w:type="dxa"/>
          </w:tcPr>
          <w:p w:rsidR="006F49DC" w:rsidRPr="006F49DC" w:rsidRDefault="006F49DC">
            <w:pPr>
              <w:rPr>
                <w:b/>
                <w:sz w:val="28"/>
              </w:rPr>
            </w:pPr>
            <w:r w:rsidRPr="006F49DC">
              <w:rPr>
                <w:b/>
                <w:sz w:val="28"/>
              </w:rPr>
              <w:t>Immunocompetent patients</w:t>
            </w:r>
          </w:p>
          <w:p w:rsidR="006F49DC" w:rsidRDefault="006F49DC" w:rsidP="006F49DC">
            <w:pPr>
              <w:rPr>
                <w:b/>
                <w:sz w:val="24"/>
                <w:szCs w:val="24"/>
              </w:rPr>
            </w:pPr>
          </w:p>
          <w:p w:rsidR="006F49DC" w:rsidRPr="006F49DC" w:rsidRDefault="006F49DC" w:rsidP="006F49DC">
            <w:pPr>
              <w:rPr>
                <w:sz w:val="24"/>
                <w:szCs w:val="24"/>
              </w:rPr>
            </w:pPr>
            <w:r w:rsidRPr="006F49DC">
              <w:rPr>
                <w:b/>
                <w:sz w:val="24"/>
                <w:szCs w:val="24"/>
              </w:rPr>
              <w:t>Clinical improvement criteria</w:t>
            </w:r>
            <w:r w:rsidRPr="006F49DC">
              <w:rPr>
                <w:sz w:val="24"/>
                <w:szCs w:val="24"/>
              </w:rPr>
              <w:t>:</w:t>
            </w:r>
          </w:p>
          <w:p w:rsidR="006F49DC" w:rsidRDefault="006F49DC" w:rsidP="006F49DC">
            <w:r>
              <w:t>·         Clinical improvement with at least some respiratory recovery</w:t>
            </w:r>
            <w:r>
              <w:tab/>
            </w:r>
            <w:r>
              <w:tab/>
            </w:r>
            <w:r>
              <w:tab/>
            </w:r>
            <w:r w:rsidRPr="00212B11">
              <w:rPr>
                <w:b/>
              </w:rPr>
              <w:t>Y / N</w:t>
            </w:r>
          </w:p>
          <w:p w:rsidR="006F49DC" w:rsidRDefault="006F49DC" w:rsidP="006F49DC">
            <w:r>
              <w:t xml:space="preserve">·         Absence of fever (&gt; 37.8°C) for 48 hours without the use of medication       </w:t>
            </w:r>
            <w:r>
              <w:tab/>
            </w:r>
            <w:r>
              <w:tab/>
            </w:r>
            <w:r w:rsidRPr="00212B11">
              <w:rPr>
                <w:b/>
              </w:rPr>
              <w:t>Y / N</w:t>
            </w:r>
            <w:r>
              <w:tab/>
            </w:r>
          </w:p>
          <w:p w:rsidR="006F49DC" w:rsidRDefault="006F49DC"/>
        </w:tc>
      </w:tr>
    </w:tbl>
    <w:p w:rsidR="006F49DC" w:rsidRDefault="006F49DC"/>
    <w:tbl>
      <w:tblPr>
        <w:tblStyle w:val="TableGrid"/>
        <w:tblW w:w="0" w:type="auto"/>
        <w:tblLook w:val="04A0" w:firstRow="1" w:lastRow="0" w:firstColumn="1" w:lastColumn="0" w:noHBand="0" w:noVBand="1"/>
      </w:tblPr>
      <w:tblGrid>
        <w:gridCol w:w="9242"/>
      </w:tblGrid>
      <w:tr w:rsidR="006F49DC" w:rsidTr="006F49DC">
        <w:tc>
          <w:tcPr>
            <w:tcW w:w="9242" w:type="dxa"/>
          </w:tcPr>
          <w:p w:rsidR="006F49DC" w:rsidRPr="006F49DC" w:rsidRDefault="006F49DC" w:rsidP="006F49DC">
            <w:pPr>
              <w:rPr>
                <w:b/>
                <w:sz w:val="28"/>
              </w:rPr>
            </w:pPr>
            <w:r w:rsidRPr="006F49DC">
              <w:rPr>
                <w:b/>
                <w:sz w:val="28"/>
              </w:rPr>
              <w:t>I</w:t>
            </w:r>
            <w:r>
              <w:rPr>
                <w:b/>
                <w:sz w:val="28"/>
              </w:rPr>
              <w:t>mmunocompromised</w:t>
            </w:r>
            <w:r w:rsidRPr="006F49DC">
              <w:rPr>
                <w:b/>
                <w:sz w:val="28"/>
              </w:rPr>
              <w:t xml:space="preserve"> patients</w:t>
            </w:r>
          </w:p>
          <w:p w:rsidR="006F49DC" w:rsidRDefault="006F49DC" w:rsidP="006F49DC">
            <w:pPr>
              <w:rPr>
                <w:b/>
                <w:sz w:val="24"/>
                <w:szCs w:val="24"/>
              </w:rPr>
            </w:pPr>
          </w:p>
          <w:p w:rsidR="006F49DC" w:rsidRPr="006F49DC" w:rsidRDefault="006F49DC" w:rsidP="006F49DC">
            <w:pPr>
              <w:rPr>
                <w:sz w:val="24"/>
                <w:szCs w:val="24"/>
              </w:rPr>
            </w:pPr>
            <w:r w:rsidRPr="006F49DC">
              <w:rPr>
                <w:b/>
                <w:sz w:val="24"/>
                <w:szCs w:val="24"/>
              </w:rPr>
              <w:t>One negative PCR</w:t>
            </w:r>
            <w:r w:rsidRPr="006F49DC">
              <w:rPr>
                <w:sz w:val="24"/>
                <w:szCs w:val="24"/>
              </w:rPr>
              <w:t xml:space="preserve">*    </w:t>
            </w:r>
            <w:r w:rsidRPr="006F49DC">
              <w:rPr>
                <w:sz w:val="24"/>
                <w:szCs w:val="24"/>
              </w:rPr>
              <w:tab/>
            </w:r>
            <w:r w:rsidRPr="006F49DC">
              <w:rPr>
                <w:sz w:val="24"/>
                <w:szCs w:val="24"/>
              </w:rPr>
              <w:tab/>
            </w:r>
            <w:r w:rsidRPr="006F49DC">
              <w:rPr>
                <w:sz w:val="24"/>
                <w:szCs w:val="24"/>
              </w:rPr>
              <w:tab/>
            </w:r>
            <w:r w:rsidRPr="006F49DC">
              <w:rPr>
                <w:sz w:val="24"/>
                <w:szCs w:val="24"/>
              </w:rPr>
              <w:tab/>
            </w:r>
            <w:r w:rsidRPr="006F49DC">
              <w:rPr>
                <w:sz w:val="24"/>
                <w:szCs w:val="24"/>
              </w:rPr>
              <w:tab/>
            </w:r>
            <w:r w:rsidRPr="006F49DC">
              <w:rPr>
                <w:sz w:val="24"/>
                <w:szCs w:val="24"/>
              </w:rPr>
              <w:tab/>
            </w:r>
            <w:r w:rsidRPr="006F49DC">
              <w:rPr>
                <w:b/>
                <w:sz w:val="24"/>
                <w:szCs w:val="24"/>
              </w:rPr>
              <w:t xml:space="preserve">Y / </w:t>
            </w:r>
            <w:proofErr w:type="gramStart"/>
            <w:r w:rsidRPr="006F49DC">
              <w:rPr>
                <w:b/>
                <w:sz w:val="24"/>
                <w:szCs w:val="24"/>
              </w:rPr>
              <w:t>N</w:t>
            </w:r>
            <w:r w:rsidRPr="006F49DC">
              <w:rPr>
                <w:sz w:val="24"/>
                <w:szCs w:val="24"/>
              </w:rPr>
              <w:t xml:space="preserve">  dated</w:t>
            </w:r>
            <w:proofErr w:type="gramEnd"/>
            <w:r w:rsidRPr="006F49DC">
              <w:rPr>
                <w:sz w:val="24"/>
                <w:szCs w:val="24"/>
              </w:rPr>
              <w:t>: ……………………</w:t>
            </w:r>
          </w:p>
          <w:p w:rsidR="006F49DC" w:rsidRPr="006F49DC" w:rsidRDefault="006F49DC" w:rsidP="006F49DC">
            <w:pPr>
              <w:rPr>
                <w:sz w:val="24"/>
                <w:szCs w:val="24"/>
              </w:rPr>
            </w:pPr>
            <w:r w:rsidRPr="006F49DC">
              <w:rPr>
                <w:sz w:val="24"/>
                <w:szCs w:val="24"/>
              </w:rPr>
              <w:t>AND</w:t>
            </w:r>
          </w:p>
          <w:p w:rsidR="006F49DC" w:rsidRPr="006F49DC" w:rsidRDefault="006F49DC" w:rsidP="006F49DC">
            <w:pPr>
              <w:rPr>
                <w:sz w:val="24"/>
                <w:szCs w:val="24"/>
              </w:rPr>
            </w:pPr>
            <w:r w:rsidRPr="006F49DC">
              <w:rPr>
                <w:b/>
                <w:sz w:val="24"/>
                <w:szCs w:val="24"/>
              </w:rPr>
              <w:t>Clinical improvement criteria</w:t>
            </w:r>
            <w:r w:rsidRPr="006F49DC">
              <w:rPr>
                <w:sz w:val="24"/>
                <w:szCs w:val="24"/>
              </w:rPr>
              <w:t>:</w:t>
            </w:r>
          </w:p>
          <w:p w:rsidR="006F49DC" w:rsidRDefault="006F49DC" w:rsidP="006F49DC">
            <w:r>
              <w:t>·         Clinical improvement with at least some respiratory recovery</w:t>
            </w:r>
            <w:r>
              <w:tab/>
            </w:r>
            <w:r>
              <w:tab/>
            </w:r>
            <w:r>
              <w:tab/>
            </w:r>
            <w:r w:rsidRPr="00212B11">
              <w:rPr>
                <w:b/>
              </w:rPr>
              <w:t>Y / N</w:t>
            </w:r>
          </w:p>
          <w:p w:rsidR="006F49DC" w:rsidRDefault="006F49DC" w:rsidP="006F49DC">
            <w:r>
              <w:t xml:space="preserve">·         Absence of fever (&gt; 37.8°C) for 48 hours without the use of medication       </w:t>
            </w:r>
            <w:r>
              <w:tab/>
            </w:r>
            <w:r>
              <w:tab/>
            </w:r>
            <w:r w:rsidRPr="00212B11">
              <w:rPr>
                <w:b/>
              </w:rPr>
              <w:t>Y / N</w:t>
            </w:r>
            <w:r>
              <w:tab/>
            </w:r>
          </w:p>
          <w:p w:rsidR="006F49DC" w:rsidRDefault="006F49DC"/>
        </w:tc>
      </w:tr>
    </w:tbl>
    <w:p w:rsidR="006F49DC" w:rsidRDefault="006F49DC" w:rsidP="006F49DC">
      <w:pPr>
        <w:rPr>
          <w:b/>
        </w:rPr>
      </w:pPr>
      <w:r w:rsidRPr="00B042A4">
        <w:rPr>
          <w:b/>
        </w:rPr>
        <w:t>All the above criteria MUST be satisfied for a patient to be de-isolate</w:t>
      </w:r>
      <w:r>
        <w:rPr>
          <w:b/>
        </w:rPr>
        <w:t>d.</w:t>
      </w:r>
    </w:p>
    <w:p w:rsidR="006F49DC" w:rsidRDefault="006F49DC" w:rsidP="006F49DC">
      <w:r>
        <w:t>To be signed by an Medical Consultant or their deputy</w:t>
      </w:r>
      <w:bookmarkStart w:id="0" w:name="_GoBack"/>
      <w:bookmarkEnd w:id="0"/>
    </w:p>
    <w:p w:rsidR="006F49DC" w:rsidRPr="00141468" w:rsidRDefault="006F49DC">
      <w:r>
        <w:t xml:space="preserve">Signed:                            </w:t>
      </w:r>
      <w:r>
        <w:tab/>
      </w:r>
      <w:r>
        <w:tab/>
      </w:r>
      <w:r>
        <w:tab/>
        <w:t>Print Name:</w:t>
      </w:r>
      <w:r>
        <w:tab/>
      </w:r>
      <w:r>
        <w:tab/>
      </w:r>
      <w:r>
        <w:tab/>
        <w:t>Date:</w:t>
      </w:r>
    </w:p>
    <w:sectPr w:rsidR="006F49DC" w:rsidRPr="001414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45A"/>
    <w:rsid w:val="00141468"/>
    <w:rsid w:val="00154D1F"/>
    <w:rsid w:val="00212B11"/>
    <w:rsid w:val="003E50B4"/>
    <w:rsid w:val="003F484F"/>
    <w:rsid w:val="005573B2"/>
    <w:rsid w:val="00633B4A"/>
    <w:rsid w:val="006D745A"/>
    <w:rsid w:val="006E7E3B"/>
    <w:rsid w:val="006F49DC"/>
    <w:rsid w:val="008B666D"/>
    <w:rsid w:val="00933CA0"/>
    <w:rsid w:val="009930A0"/>
    <w:rsid w:val="009D7C00"/>
    <w:rsid w:val="00B042A4"/>
    <w:rsid w:val="00B52526"/>
    <w:rsid w:val="00C07D30"/>
    <w:rsid w:val="00C91786"/>
    <w:rsid w:val="00FC4A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4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D1F"/>
    <w:rPr>
      <w:rFonts w:ascii="Tahoma" w:hAnsi="Tahoma" w:cs="Tahoma"/>
      <w:sz w:val="16"/>
      <w:szCs w:val="16"/>
    </w:rPr>
  </w:style>
  <w:style w:type="table" w:styleId="TableGrid">
    <w:name w:val="Table Grid"/>
    <w:basedOn w:val="TableNormal"/>
    <w:uiPriority w:val="59"/>
    <w:unhideWhenUsed/>
    <w:rsid w:val="006F4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4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D1F"/>
    <w:rPr>
      <w:rFonts w:ascii="Tahoma" w:hAnsi="Tahoma" w:cs="Tahoma"/>
      <w:sz w:val="16"/>
      <w:szCs w:val="16"/>
    </w:rPr>
  </w:style>
  <w:style w:type="table" w:styleId="TableGrid">
    <w:name w:val="Table Grid"/>
    <w:basedOn w:val="TableNormal"/>
    <w:uiPriority w:val="59"/>
    <w:unhideWhenUsed/>
    <w:rsid w:val="006F4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AL-RADNOR1</dc:creator>
  <cp:lastModifiedBy>Sian Evans</cp:lastModifiedBy>
  <cp:revision>4</cp:revision>
  <cp:lastPrinted>2021-07-16T07:46:00Z</cp:lastPrinted>
  <dcterms:created xsi:type="dcterms:W3CDTF">2021-09-10T14:30:00Z</dcterms:created>
  <dcterms:modified xsi:type="dcterms:W3CDTF">2021-09-10T14:32:00Z</dcterms:modified>
</cp:coreProperties>
</file>