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78" w:type="dxa"/>
        <w:tblLook w:val="04A0" w:firstRow="1" w:lastRow="0" w:firstColumn="1" w:lastColumn="0" w:noHBand="0" w:noVBand="1"/>
      </w:tblPr>
      <w:tblGrid>
        <w:gridCol w:w="5836"/>
        <w:gridCol w:w="1587"/>
        <w:gridCol w:w="7755"/>
      </w:tblGrid>
      <w:tr w:rsidR="00B66F83" w:rsidTr="00186B38">
        <w:trPr>
          <w:trHeight w:val="425"/>
        </w:trPr>
        <w:tc>
          <w:tcPr>
            <w:tcW w:w="5836" w:type="dxa"/>
          </w:tcPr>
          <w:p w:rsidR="00B66F83" w:rsidRDefault="00A81B52">
            <w:bookmarkStart w:id="0" w:name="_GoBack"/>
            <w:bookmarkEnd w:id="0"/>
            <w:r>
              <w:t>R</w:t>
            </w:r>
            <w:r w:rsidR="00B66F83">
              <w:t>ole</w:t>
            </w:r>
          </w:p>
        </w:tc>
        <w:tc>
          <w:tcPr>
            <w:tcW w:w="1587" w:type="dxa"/>
          </w:tcPr>
          <w:p w:rsidR="00B66F83" w:rsidRDefault="00B66F83">
            <w:r>
              <w:t>SPA recognition</w:t>
            </w:r>
          </w:p>
        </w:tc>
        <w:tc>
          <w:tcPr>
            <w:tcW w:w="7755" w:type="dxa"/>
          </w:tcPr>
          <w:p w:rsidR="00B66F83" w:rsidRDefault="00B66F83">
            <w:r>
              <w:t>notes</w:t>
            </w:r>
          </w:p>
        </w:tc>
      </w:tr>
      <w:tr w:rsidR="00B66F83" w:rsidTr="00186B38">
        <w:trPr>
          <w:trHeight w:val="408"/>
        </w:trPr>
        <w:tc>
          <w:tcPr>
            <w:tcW w:w="5836" w:type="dxa"/>
          </w:tcPr>
          <w:p w:rsidR="00B66F83" w:rsidRDefault="00B66F83">
            <w:r>
              <w:t>Deputy Clinical Director</w:t>
            </w:r>
          </w:p>
          <w:p w:rsidR="00B66F83" w:rsidRDefault="00B66F83">
            <w:r>
              <w:t xml:space="preserve">(each division) </w:t>
            </w:r>
          </w:p>
        </w:tc>
        <w:tc>
          <w:tcPr>
            <w:tcW w:w="1587" w:type="dxa"/>
          </w:tcPr>
          <w:p w:rsidR="00B66F83" w:rsidRDefault="00B66F83">
            <w:r>
              <w:t xml:space="preserve">3 </w:t>
            </w:r>
          </w:p>
        </w:tc>
        <w:tc>
          <w:tcPr>
            <w:tcW w:w="7755" w:type="dxa"/>
          </w:tcPr>
          <w:p w:rsidR="00B66F83" w:rsidRDefault="00B66F83">
            <w:r>
              <w:t>The total SPA amount can be split between 2 or three individuals at the discretion of the Clinical Director</w:t>
            </w:r>
          </w:p>
        </w:tc>
      </w:tr>
      <w:tr w:rsidR="00B66F83" w:rsidTr="00186B38">
        <w:trPr>
          <w:trHeight w:val="425"/>
        </w:trPr>
        <w:tc>
          <w:tcPr>
            <w:tcW w:w="5836" w:type="dxa"/>
          </w:tcPr>
          <w:p w:rsidR="00B66F83" w:rsidRDefault="00B66F83">
            <w:r>
              <w:t>Department/Service lead</w:t>
            </w:r>
          </w:p>
        </w:tc>
        <w:tc>
          <w:tcPr>
            <w:tcW w:w="1587" w:type="dxa"/>
          </w:tcPr>
          <w:p w:rsidR="00B66F83" w:rsidRDefault="00B66F83">
            <w:r>
              <w:t>1</w:t>
            </w:r>
          </w:p>
        </w:tc>
        <w:tc>
          <w:tcPr>
            <w:tcW w:w="7755" w:type="dxa"/>
          </w:tcPr>
          <w:p w:rsidR="00B66F83" w:rsidRDefault="00B66F83">
            <w:r>
              <w:t>Department/Service lead roles are commissioned and appointed by the Divisional Management Team. Smaller departments/services may have a smaller SPA recognition in agreement with the Divisions Clinical Director.</w:t>
            </w:r>
          </w:p>
        </w:tc>
      </w:tr>
      <w:tr w:rsidR="00B66F83" w:rsidTr="00186B38">
        <w:trPr>
          <w:trHeight w:val="425"/>
        </w:trPr>
        <w:tc>
          <w:tcPr>
            <w:tcW w:w="5836" w:type="dxa"/>
          </w:tcPr>
          <w:p w:rsidR="00B66F83" w:rsidRDefault="00B66F83">
            <w:r>
              <w:t>Divisional Governance Lead</w:t>
            </w:r>
          </w:p>
          <w:p w:rsidR="00B66F83" w:rsidRDefault="00B66F83">
            <w:r>
              <w:t>(each division)</w:t>
            </w:r>
          </w:p>
        </w:tc>
        <w:tc>
          <w:tcPr>
            <w:tcW w:w="1587" w:type="dxa"/>
          </w:tcPr>
          <w:p w:rsidR="00B66F83" w:rsidRDefault="00B66F83">
            <w:r>
              <w:t>1</w:t>
            </w:r>
          </w:p>
        </w:tc>
        <w:tc>
          <w:tcPr>
            <w:tcW w:w="7755" w:type="dxa"/>
          </w:tcPr>
          <w:p w:rsidR="00B66F83" w:rsidRDefault="00B66F83"/>
        </w:tc>
      </w:tr>
      <w:tr w:rsidR="00B66F83" w:rsidTr="00186B38">
        <w:trPr>
          <w:trHeight w:val="425"/>
        </w:trPr>
        <w:tc>
          <w:tcPr>
            <w:tcW w:w="5836" w:type="dxa"/>
          </w:tcPr>
          <w:p w:rsidR="00B66F83" w:rsidRDefault="000E4BBD">
            <w:r>
              <w:t>Digital Integration Lead</w:t>
            </w:r>
          </w:p>
          <w:p w:rsidR="000E4BBD" w:rsidRDefault="000E4BBD">
            <w:r>
              <w:t>(each division)</w:t>
            </w:r>
          </w:p>
        </w:tc>
        <w:tc>
          <w:tcPr>
            <w:tcW w:w="1587" w:type="dxa"/>
          </w:tcPr>
          <w:p w:rsidR="00B66F83" w:rsidRDefault="000E4BBD">
            <w:r>
              <w:t>1</w:t>
            </w:r>
          </w:p>
        </w:tc>
        <w:tc>
          <w:tcPr>
            <w:tcW w:w="7755" w:type="dxa"/>
          </w:tcPr>
          <w:p w:rsidR="00B66F83" w:rsidRDefault="000E4BBD">
            <w:r>
              <w:t>These roles will report to the CCIO</w:t>
            </w:r>
          </w:p>
        </w:tc>
      </w:tr>
      <w:tr w:rsidR="00B66F83" w:rsidTr="00186B38">
        <w:trPr>
          <w:trHeight w:val="444"/>
        </w:trPr>
        <w:tc>
          <w:tcPr>
            <w:tcW w:w="5836" w:type="dxa"/>
          </w:tcPr>
          <w:p w:rsidR="00B66F83" w:rsidRDefault="000E4BBD">
            <w:r>
              <w:t xml:space="preserve">Infection control lead clinician </w:t>
            </w:r>
          </w:p>
        </w:tc>
        <w:tc>
          <w:tcPr>
            <w:tcW w:w="1587" w:type="dxa"/>
          </w:tcPr>
          <w:p w:rsidR="00B66F83" w:rsidRDefault="000E4BBD">
            <w:r>
              <w:t>1</w:t>
            </w:r>
          </w:p>
        </w:tc>
        <w:tc>
          <w:tcPr>
            <w:tcW w:w="7755" w:type="dxa"/>
          </w:tcPr>
          <w:p w:rsidR="00B66F83" w:rsidRDefault="00B66F83"/>
        </w:tc>
      </w:tr>
      <w:tr w:rsidR="00B66F83" w:rsidTr="00186B38">
        <w:trPr>
          <w:trHeight w:val="425"/>
        </w:trPr>
        <w:tc>
          <w:tcPr>
            <w:tcW w:w="5836" w:type="dxa"/>
          </w:tcPr>
          <w:p w:rsidR="00B66F83" w:rsidRDefault="000E4BBD">
            <w:r>
              <w:t>Associate Medical Director for Quality and safety</w:t>
            </w:r>
          </w:p>
        </w:tc>
        <w:tc>
          <w:tcPr>
            <w:tcW w:w="1587" w:type="dxa"/>
          </w:tcPr>
          <w:p w:rsidR="00B66F83" w:rsidRDefault="000E4BBD">
            <w:r>
              <w:t>3</w:t>
            </w:r>
          </w:p>
        </w:tc>
        <w:tc>
          <w:tcPr>
            <w:tcW w:w="7755" w:type="dxa"/>
          </w:tcPr>
          <w:p w:rsidR="00B66F83" w:rsidRDefault="00B66F83"/>
        </w:tc>
      </w:tr>
      <w:tr w:rsidR="00B66F83" w:rsidTr="00186B38">
        <w:trPr>
          <w:trHeight w:val="444"/>
        </w:trPr>
        <w:tc>
          <w:tcPr>
            <w:tcW w:w="5836" w:type="dxa"/>
          </w:tcPr>
          <w:p w:rsidR="00B66F83" w:rsidRDefault="000E4BBD">
            <w:r>
              <w:t>Lead Cancer Clinician</w:t>
            </w:r>
          </w:p>
        </w:tc>
        <w:tc>
          <w:tcPr>
            <w:tcW w:w="1587" w:type="dxa"/>
          </w:tcPr>
          <w:p w:rsidR="00B66F83" w:rsidRDefault="000E4BBD">
            <w:r>
              <w:t>1</w:t>
            </w:r>
          </w:p>
        </w:tc>
        <w:tc>
          <w:tcPr>
            <w:tcW w:w="7755" w:type="dxa"/>
          </w:tcPr>
          <w:p w:rsidR="00B66F83" w:rsidRDefault="00B66F83"/>
        </w:tc>
      </w:tr>
      <w:tr w:rsidR="000E4BBD" w:rsidTr="00186B38">
        <w:trPr>
          <w:trHeight w:val="444"/>
        </w:trPr>
        <w:tc>
          <w:tcPr>
            <w:tcW w:w="5836" w:type="dxa"/>
          </w:tcPr>
          <w:p w:rsidR="000E4BBD" w:rsidRDefault="000E4BBD">
            <w:r>
              <w:t xml:space="preserve">Clinical lead(s) for Transformation and Quality Improvement </w:t>
            </w:r>
          </w:p>
        </w:tc>
        <w:tc>
          <w:tcPr>
            <w:tcW w:w="1587" w:type="dxa"/>
          </w:tcPr>
          <w:p w:rsidR="000E4BBD" w:rsidRDefault="000E4BBD">
            <w:r>
              <w:t>3</w:t>
            </w:r>
          </w:p>
        </w:tc>
        <w:tc>
          <w:tcPr>
            <w:tcW w:w="7755" w:type="dxa"/>
          </w:tcPr>
          <w:p w:rsidR="000E4BBD" w:rsidRDefault="000E4BBD" w:rsidP="0079199D">
            <w:r>
              <w:t xml:space="preserve">This resource will be split between a number of projects </w:t>
            </w:r>
            <w:r w:rsidR="0079199D">
              <w:t xml:space="preserve">aligned to Trust priorities </w:t>
            </w:r>
          </w:p>
        </w:tc>
      </w:tr>
      <w:tr w:rsidR="000E4BBD" w:rsidTr="00186B38">
        <w:trPr>
          <w:trHeight w:val="444"/>
        </w:trPr>
        <w:tc>
          <w:tcPr>
            <w:tcW w:w="5836" w:type="dxa"/>
          </w:tcPr>
          <w:p w:rsidR="000E4BBD" w:rsidRDefault="000E4BBD">
            <w:r>
              <w:t>Mortality Lead</w:t>
            </w:r>
          </w:p>
        </w:tc>
        <w:tc>
          <w:tcPr>
            <w:tcW w:w="1587" w:type="dxa"/>
          </w:tcPr>
          <w:p w:rsidR="000E4BBD" w:rsidRDefault="000E4BBD">
            <w:r>
              <w:t>1</w:t>
            </w:r>
          </w:p>
        </w:tc>
        <w:tc>
          <w:tcPr>
            <w:tcW w:w="7755" w:type="dxa"/>
          </w:tcPr>
          <w:p w:rsidR="000E4BBD" w:rsidRDefault="000E4BBD"/>
        </w:tc>
      </w:tr>
      <w:tr w:rsidR="000E4BBD" w:rsidTr="00186B38">
        <w:trPr>
          <w:trHeight w:val="444"/>
        </w:trPr>
        <w:tc>
          <w:tcPr>
            <w:tcW w:w="5836" w:type="dxa"/>
          </w:tcPr>
          <w:p w:rsidR="000E4BBD" w:rsidRDefault="000E4BBD">
            <w:r>
              <w:t xml:space="preserve">Lead Medical Examiner </w:t>
            </w:r>
          </w:p>
        </w:tc>
        <w:tc>
          <w:tcPr>
            <w:tcW w:w="1587" w:type="dxa"/>
          </w:tcPr>
          <w:p w:rsidR="000E4BBD" w:rsidRDefault="000E4BBD">
            <w:r>
              <w:t>1</w:t>
            </w:r>
          </w:p>
        </w:tc>
        <w:tc>
          <w:tcPr>
            <w:tcW w:w="7755" w:type="dxa"/>
          </w:tcPr>
          <w:p w:rsidR="000E4BBD" w:rsidRDefault="000E4BBD"/>
        </w:tc>
      </w:tr>
      <w:tr w:rsidR="000E4BBD" w:rsidTr="00186B38">
        <w:trPr>
          <w:trHeight w:val="444"/>
        </w:trPr>
        <w:tc>
          <w:tcPr>
            <w:tcW w:w="5836" w:type="dxa"/>
          </w:tcPr>
          <w:p w:rsidR="000E4BBD" w:rsidRDefault="0079199D">
            <w:r>
              <w:t>Chief Clinical Information Officer</w:t>
            </w:r>
          </w:p>
        </w:tc>
        <w:tc>
          <w:tcPr>
            <w:tcW w:w="1587" w:type="dxa"/>
          </w:tcPr>
          <w:p w:rsidR="000E4BBD" w:rsidRDefault="0079199D">
            <w:r>
              <w:t>3</w:t>
            </w:r>
          </w:p>
        </w:tc>
        <w:tc>
          <w:tcPr>
            <w:tcW w:w="7755" w:type="dxa"/>
          </w:tcPr>
          <w:p w:rsidR="000E4BBD" w:rsidRDefault="000E4BBD"/>
        </w:tc>
      </w:tr>
      <w:tr w:rsidR="000E4BBD" w:rsidTr="00186B38">
        <w:trPr>
          <w:trHeight w:val="444"/>
        </w:trPr>
        <w:tc>
          <w:tcPr>
            <w:tcW w:w="5836" w:type="dxa"/>
          </w:tcPr>
          <w:p w:rsidR="000E4BBD" w:rsidRDefault="0079199D">
            <w:r>
              <w:t xml:space="preserve">Clinical Safety Officer </w:t>
            </w:r>
          </w:p>
        </w:tc>
        <w:tc>
          <w:tcPr>
            <w:tcW w:w="1587" w:type="dxa"/>
          </w:tcPr>
          <w:p w:rsidR="000E4BBD" w:rsidRDefault="0079199D">
            <w:r>
              <w:t>0.5</w:t>
            </w:r>
          </w:p>
        </w:tc>
        <w:tc>
          <w:tcPr>
            <w:tcW w:w="7755" w:type="dxa"/>
          </w:tcPr>
          <w:p w:rsidR="000E4BBD" w:rsidRDefault="0079199D">
            <w:r>
              <w:t>This role supports digital systems and information governance teams</w:t>
            </w:r>
          </w:p>
        </w:tc>
      </w:tr>
      <w:tr w:rsidR="000E4BBD" w:rsidTr="00186B38">
        <w:trPr>
          <w:trHeight w:val="444"/>
        </w:trPr>
        <w:tc>
          <w:tcPr>
            <w:tcW w:w="5836" w:type="dxa"/>
          </w:tcPr>
          <w:p w:rsidR="000E4BBD" w:rsidRDefault="0079199D">
            <w:r>
              <w:t xml:space="preserve">Project based digital leads </w:t>
            </w:r>
          </w:p>
        </w:tc>
        <w:tc>
          <w:tcPr>
            <w:tcW w:w="1587" w:type="dxa"/>
          </w:tcPr>
          <w:p w:rsidR="000E4BBD" w:rsidRDefault="0079199D">
            <w:r>
              <w:t>1.5</w:t>
            </w:r>
          </w:p>
        </w:tc>
        <w:tc>
          <w:tcPr>
            <w:tcW w:w="7755" w:type="dxa"/>
          </w:tcPr>
          <w:p w:rsidR="000E4BBD" w:rsidRDefault="0079199D">
            <w:r>
              <w:t>This resource will be split between a number of projects aligned to Trust priorities</w:t>
            </w:r>
          </w:p>
        </w:tc>
      </w:tr>
      <w:tr w:rsidR="000E4BBD" w:rsidTr="00186B38">
        <w:trPr>
          <w:trHeight w:val="444"/>
        </w:trPr>
        <w:tc>
          <w:tcPr>
            <w:tcW w:w="5836" w:type="dxa"/>
          </w:tcPr>
          <w:p w:rsidR="000E4BBD" w:rsidRDefault="0079199D">
            <w:r>
              <w:t>Appraiser</w:t>
            </w:r>
          </w:p>
        </w:tc>
        <w:tc>
          <w:tcPr>
            <w:tcW w:w="1587" w:type="dxa"/>
          </w:tcPr>
          <w:p w:rsidR="000E4BBD" w:rsidRDefault="0079199D">
            <w:r>
              <w:t>0.25</w:t>
            </w:r>
          </w:p>
        </w:tc>
        <w:tc>
          <w:tcPr>
            <w:tcW w:w="7755" w:type="dxa"/>
          </w:tcPr>
          <w:p w:rsidR="000E4BBD" w:rsidRDefault="0079199D">
            <w:r>
              <w:t>Minimum 6 appraisals per year plus attendance at appraisers training session</w:t>
            </w:r>
          </w:p>
        </w:tc>
      </w:tr>
      <w:tr w:rsidR="00323955" w:rsidTr="00186B38">
        <w:trPr>
          <w:trHeight w:val="444"/>
        </w:trPr>
        <w:tc>
          <w:tcPr>
            <w:tcW w:w="5836" w:type="dxa"/>
          </w:tcPr>
          <w:p w:rsidR="00323955" w:rsidRDefault="00323955">
            <w:r>
              <w:t>Core SPA</w:t>
            </w:r>
          </w:p>
        </w:tc>
        <w:tc>
          <w:tcPr>
            <w:tcW w:w="1587" w:type="dxa"/>
          </w:tcPr>
          <w:p w:rsidR="00323955" w:rsidRDefault="009E0276">
            <w:r>
              <w:t>1.5</w:t>
            </w:r>
          </w:p>
        </w:tc>
        <w:tc>
          <w:tcPr>
            <w:tcW w:w="7755" w:type="dxa"/>
          </w:tcPr>
          <w:p w:rsidR="00611816" w:rsidRDefault="00611816">
            <w:r>
              <w:t xml:space="preserve">This allocation recognises time for </w:t>
            </w:r>
          </w:p>
          <w:p w:rsidR="00611816" w:rsidRDefault="00611816" w:rsidP="00611816">
            <w:pPr>
              <w:pStyle w:val="ListParagraph"/>
              <w:numPr>
                <w:ilvl w:val="0"/>
                <w:numId w:val="1"/>
              </w:numPr>
            </w:pPr>
            <w:r>
              <w:t>CPD</w:t>
            </w:r>
          </w:p>
          <w:p w:rsidR="00611816" w:rsidRDefault="00611816" w:rsidP="00611816">
            <w:pPr>
              <w:pStyle w:val="ListParagraph"/>
              <w:numPr>
                <w:ilvl w:val="0"/>
                <w:numId w:val="1"/>
              </w:numPr>
            </w:pPr>
            <w:r>
              <w:t>Essential Training</w:t>
            </w:r>
          </w:p>
          <w:p w:rsidR="00611816" w:rsidRDefault="00611816" w:rsidP="00611816">
            <w:pPr>
              <w:pStyle w:val="ListParagraph"/>
              <w:numPr>
                <w:ilvl w:val="0"/>
                <w:numId w:val="1"/>
              </w:numPr>
            </w:pPr>
            <w:r>
              <w:t>Audit and Governance half days (assumes 5/6 per year attended)</w:t>
            </w:r>
          </w:p>
          <w:p w:rsidR="00611816" w:rsidRDefault="00611816" w:rsidP="00611816">
            <w:pPr>
              <w:pStyle w:val="ListParagraph"/>
              <w:numPr>
                <w:ilvl w:val="0"/>
                <w:numId w:val="1"/>
              </w:numPr>
            </w:pPr>
            <w:r>
              <w:t>job planning preparation and discussion</w:t>
            </w:r>
          </w:p>
          <w:p w:rsidR="00611816" w:rsidRDefault="00611816" w:rsidP="00611816">
            <w:pPr>
              <w:pStyle w:val="ListParagraph"/>
              <w:numPr>
                <w:ilvl w:val="0"/>
                <w:numId w:val="1"/>
              </w:numPr>
            </w:pPr>
            <w:r>
              <w:lastRenderedPageBreak/>
              <w:t>Appraisal preparation and attendance</w:t>
            </w:r>
          </w:p>
          <w:p w:rsidR="00611816" w:rsidRDefault="00611816" w:rsidP="00611816">
            <w:pPr>
              <w:pStyle w:val="ListParagraph"/>
              <w:numPr>
                <w:ilvl w:val="0"/>
                <w:numId w:val="1"/>
              </w:numPr>
            </w:pPr>
            <w:r>
              <w:t>personal and professional administration</w:t>
            </w:r>
          </w:p>
          <w:p w:rsidR="00611816" w:rsidRDefault="00611816" w:rsidP="00611816">
            <w:pPr>
              <w:pStyle w:val="ListParagraph"/>
              <w:numPr>
                <w:ilvl w:val="0"/>
                <w:numId w:val="1"/>
              </w:numPr>
            </w:pPr>
            <w:r>
              <w:t>Responding to complaints and participating in serious incident investigations</w:t>
            </w:r>
          </w:p>
          <w:p w:rsidR="00611816" w:rsidRDefault="00611816" w:rsidP="00611816">
            <w:pPr>
              <w:pStyle w:val="ListParagraph"/>
              <w:numPr>
                <w:ilvl w:val="0"/>
                <w:numId w:val="1"/>
              </w:numPr>
            </w:pPr>
            <w:r>
              <w:t xml:space="preserve">departmental </w:t>
            </w:r>
            <w:r w:rsidR="00E60919">
              <w:t xml:space="preserve">governance/M&amp;M </w:t>
            </w:r>
            <w:r>
              <w:t>meetings</w:t>
            </w:r>
          </w:p>
          <w:p w:rsidR="00323955" w:rsidRDefault="00611816" w:rsidP="00611816">
            <w:pPr>
              <w:pStyle w:val="ListParagraph"/>
              <w:numPr>
                <w:ilvl w:val="0"/>
                <w:numId w:val="1"/>
              </w:numPr>
            </w:pPr>
            <w:r>
              <w:t>Bedside teaching to medical students, postgraduate trainees and locally employed doctors.</w:t>
            </w:r>
          </w:p>
          <w:p w:rsidR="009E0276" w:rsidRDefault="009E0276" w:rsidP="009E0276">
            <w:pPr>
              <w:pStyle w:val="ListParagraph"/>
            </w:pPr>
          </w:p>
          <w:p w:rsidR="009E0276" w:rsidRDefault="009E0276" w:rsidP="009E0276">
            <w:r>
              <w:t>This allocation also recognises the responsibility for all consultants and SAS doctors to provide most types of clinical supervision medical students, postgraduate trainees and locally employed doctors.</w:t>
            </w:r>
          </w:p>
        </w:tc>
      </w:tr>
      <w:tr w:rsidR="009E0276" w:rsidTr="00186B38">
        <w:trPr>
          <w:trHeight w:val="444"/>
        </w:trPr>
        <w:tc>
          <w:tcPr>
            <w:tcW w:w="5836" w:type="dxa"/>
          </w:tcPr>
          <w:tbl>
            <w:tblPr>
              <w:tblW w:w="5620" w:type="dxa"/>
              <w:tblLook w:val="04A0" w:firstRow="1" w:lastRow="0" w:firstColumn="1" w:lastColumn="0" w:noHBand="0" w:noVBand="1"/>
            </w:tblPr>
            <w:tblGrid>
              <w:gridCol w:w="5620"/>
            </w:tblGrid>
            <w:tr w:rsidR="009E0276" w:rsidRPr="00323955" w:rsidTr="00323955">
              <w:trPr>
                <w:trHeight w:val="288"/>
              </w:trPr>
              <w:tc>
                <w:tcPr>
                  <w:tcW w:w="5620" w:type="dxa"/>
                  <w:tcBorders>
                    <w:top w:val="nil"/>
                    <w:left w:val="nil"/>
                    <w:bottom w:val="nil"/>
                    <w:right w:val="nil"/>
                  </w:tcBorders>
                  <w:shd w:val="clear" w:color="auto" w:fill="auto"/>
                  <w:noWrap/>
                  <w:vAlign w:val="bottom"/>
                  <w:hideMark/>
                </w:tcPr>
                <w:p w:rsidR="009E0276" w:rsidRPr="00323955" w:rsidRDefault="009E0276" w:rsidP="00323955">
                  <w:pPr>
                    <w:spacing w:after="0" w:line="240" w:lineRule="auto"/>
                    <w:rPr>
                      <w:rFonts w:ascii="Calibri" w:eastAsia="Times New Roman" w:hAnsi="Calibri" w:cs="Times New Roman"/>
                      <w:color w:val="000000"/>
                      <w:lang w:eastAsia="en-GB"/>
                    </w:rPr>
                  </w:pPr>
                  <w:r w:rsidRPr="00323955">
                    <w:rPr>
                      <w:rFonts w:ascii="Calibri" w:eastAsia="Times New Roman" w:hAnsi="Calibri" w:cs="Times New Roman"/>
                      <w:color w:val="000000"/>
                      <w:lang w:eastAsia="en-GB"/>
                    </w:rPr>
                    <w:lastRenderedPageBreak/>
                    <w:t>Chair/Medical lead of recognised governance group (monthly)</w:t>
                  </w:r>
                </w:p>
              </w:tc>
            </w:tr>
            <w:tr w:rsidR="009E0276" w:rsidRPr="00323955" w:rsidTr="00323955">
              <w:trPr>
                <w:trHeight w:val="288"/>
              </w:trPr>
              <w:tc>
                <w:tcPr>
                  <w:tcW w:w="5620" w:type="dxa"/>
                  <w:tcBorders>
                    <w:top w:val="nil"/>
                    <w:left w:val="nil"/>
                    <w:bottom w:val="nil"/>
                    <w:right w:val="nil"/>
                  </w:tcBorders>
                  <w:shd w:val="clear" w:color="auto" w:fill="auto"/>
                  <w:noWrap/>
                  <w:vAlign w:val="bottom"/>
                  <w:hideMark/>
                </w:tcPr>
                <w:p w:rsidR="009E0276" w:rsidRPr="00323955" w:rsidRDefault="009E0276" w:rsidP="00323955">
                  <w:pPr>
                    <w:spacing w:after="0" w:line="240" w:lineRule="auto"/>
                    <w:rPr>
                      <w:rFonts w:ascii="Calibri" w:eastAsia="Times New Roman" w:hAnsi="Calibri" w:cs="Times New Roman"/>
                      <w:color w:val="000000"/>
                      <w:lang w:eastAsia="en-GB"/>
                    </w:rPr>
                  </w:pPr>
                  <w:r w:rsidRPr="00323955">
                    <w:rPr>
                      <w:rFonts w:ascii="Calibri" w:eastAsia="Times New Roman" w:hAnsi="Calibri" w:cs="Times New Roman"/>
                      <w:color w:val="000000"/>
                      <w:lang w:eastAsia="en-GB"/>
                    </w:rPr>
                    <w:t>Chair/Medical lead of recognised governance group (quarterly)</w:t>
                  </w:r>
                </w:p>
              </w:tc>
            </w:tr>
          </w:tbl>
          <w:p w:rsidR="009E0276" w:rsidRDefault="009E0276"/>
        </w:tc>
        <w:tc>
          <w:tcPr>
            <w:tcW w:w="1587" w:type="dxa"/>
          </w:tcPr>
          <w:p w:rsidR="009E0276" w:rsidRDefault="009E0276">
            <w:r>
              <w:t>0.25</w:t>
            </w:r>
          </w:p>
          <w:p w:rsidR="009E0276" w:rsidRDefault="009E0276"/>
          <w:p w:rsidR="009E0276" w:rsidRDefault="009E0276">
            <w:r>
              <w:t>0.125</w:t>
            </w:r>
          </w:p>
        </w:tc>
        <w:tc>
          <w:tcPr>
            <w:tcW w:w="7755" w:type="dxa"/>
          </w:tcPr>
          <w:p w:rsidR="009E0276" w:rsidRDefault="009E0276" w:rsidP="00611816"/>
        </w:tc>
      </w:tr>
      <w:tr w:rsidR="009E0276" w:rsidTr="00186B38">
        <w:trPr>
          <w:trHeight w:val="444"/>
        </w:trPr>
        <w:tc>
          <w:tcPr>
            <w:tcW w:w="5836" w:type="dxa"/>
          </w:tcPr>
          <w:p w:rsidR="009E0276" w:rsidRDefault="009E0276">
            <w:r>
              <w:t>Guardian of Safe Working</w:t>
            </w:r>
          </w:p>
        </w:tc>
        <w:tc>
          <w:tcPr>
            <w:tcW w:w="1587" w:type="dxa"/>
          </w:tcPr>
          <w:p w:rsidR="009E0276" w:rsidRDefault="009E0276">
            <w:r>
              <w:t>1.5</w:t>
            </w:r>
          </w:p>
        </w:tc>
        <w:tc>
          <w:tcPr>
            <w:tcW w:w="7755" w:type="dxa"/>
          </w:tcPr>
          <w:p w:rsidR="009E0276" w:rsidRDefault="009E0276"/>
        </w:tc>
      </w:tr>
      <w:tr w:rsidR="009E0276" w:rsidTr="00186B38">
        <w:trPr>
          <w:trHeight w:val="444"/>
        </w:trPr>
        <w:tc>
          <w:tcPr>
            <w:tcW w:w="5836" w:type="dxa"/>
          </w:tcPr>
          <w:p w:rsidR="009E0276" w:rsidRDefault="009E0276">
            <w:r>
              <w:t>Defined Educational and clinical supervision roles</w:t>
            </w:r>
          </w:p>
        </w:tc>
        <w:tc>
          <w:tcPr>
            <w:tcW w:w="1587" w:type="dxa"/>
          </w:tcPr>
          <w:p w:rsidR="003D30FB" w:rsidRDefault="009E0276">
            <w:r>
              <w:t xml:space="preserve">0.25 per </w:t>
            </w:r>
            <w:r w:rsidR="003D30FB">
              <w:t xml:space="preserve">deanery </w:t>
            </w:r>
            <w:r>
              <w:t>trainee</w:t>
            </w:r>
          </w:p>
          <w:p w:rsidR="009E0276" w:rsidRDefault="003D30FB">
            <w:r>
              <w:t>0.125 per Locally employed doctor</w:t>
            </w:r>
          </w:p>
        </w:tc>
        <w:tc>
          <w:tcPr>
            <w:tcW w:w="7755" w:type="dxa"/>
          </w:tcPr>
          <w:p w:rsidR="009E0276" w:rsidRDefault="009E0276">
            <w:r>
              <w:t>Educational and clinical supervision will vary according to the grade and specialty of a trainee. The Director of Medical Education will be responsible for overseeing the allocation of this resource</w:t>
            </w:r>
          </w:p>
          <w:p w:rsidR="009E0276" w:rsidRDefault="009E0276">
            <w:r>
              <w:t xml:space="preserve">Defined educational/clinical supervisors are expected to provide evidence of participation in regular educational training </w:t>
            </w:r>
          </w:p>
          <w:p w:rsidR="009E0276" w:rsidRDefault="009E0276">
            <w:r>
              <w:t xml:space="preserve">The maximum allocation per consultant/SAS job plan for specified educational/clinical supervision </w:t>
            </w:r>
          </w:p>
        </w:tc>
      </w:tr>
      <w:tr w:rsidR="009E0276" w:rsidTr="00AF3925">
        <w:trPr>
          <w:trHeight w:val="444"/>
        </w:trPr>
        <w:tc>
          <w:tcPr>
            <w:tcW w:w="5836" w:type="dxa"/>
          </w:tcPr>
          <w:p w:rsidR="009E0276" w:rsidRDefault="009E0276" w:rsidP="00532DB4">
            <w:r>
              <w:t xml:space="preserve">Development lead for Locally Employed Doctors </w:t>
            </w:r>
          </w:p>
        </w:tc>
        <w:tc>
          <w:tcPr>
            <w:tcW w:w="1587" w:type="dxa"/>
          </w:tcPr>
          <w:p w:rsidR="009E0276" w:rsidRDefault="009E0276">
            <w:r>
              <w:t>1.0</w:t>
            </w:r>
          </w:p>
        </w:tc>
        <w:tc>
          <w:tcPr>
            <w:tcW w:w="7755" w:type="dxa"/>
          </w:tcPr>
          <w:p w:rsidR="009E0276" w:rsidRDefault="009E0276" w:rsidP="002610FA"/>
        </w:tc>
      </w:tr>
      <w:tr w:rsidR="009E0276" w:rsidTr="00AF3925">
        <w:trPr>
          <w:trHeight w:val="444"/>
        </w:trPr>
        <w:tc>
          <w:tcPr>
            <w:tcW w:w="5836" w:type="dxa"/>
          </w:tcPr>
          <w:p w:rsidR="009E0276" w:rsidRDefault="009E0276">
            <w:r>
              <w:t xml:space="preserve">Safeguarding adults  lead doctor </w:t>
            </w:r>
          </w:p>
        </w:tc>
        <w:tc>
          <w:tcPr>
            <w:tcW w:w="1587" w:type="dxa"/>
          </w:tcPr>
          <w:p w:rsidR="009E0276" w:rsidRDefault="009E0276">
            <w:r>
              <w:t>0.5</w:t>
            </w:r>
          </w:p>
        </w:tc>
        <w:tc>
          <w:tcPr>
            <w:tcW w:w="7755" w:type="dxa"/>
          </w:tcPr>
          <w:p w:rsidR="009E0276" w:rsidRDefault="009E0276"/>
        </w:tc>
      </w:tr>
      <w:tr w:rsidR="009E0276" w:rsidTr="00AF3925">
        <w:trPr>
          <w:trHeight w:val="444"/>
        </w:trPr>
        <w:tc>
          <w:tcPr>
            <w:tcW w:w="5836" w:type="dxa"/>
          </w:tcPr>
          <w:p w:rsidR="009E0276" w:rsidRDefault="009E0276"/>
        </w:tc>
        <w:tc>
          <w:tcPr>
            <w:tcW w:w="1587" w:type="dxa"/>
          </w:tcPr>
          <w:p w:rsidR="009E0276" w:rsidRDefault="009E0276"/>
        </w:tc>
        <w:tc>
          <w:tcPr>
            <w:tcW w:w="7755" w:type="dxa"/>
          </w:tcPr>
          <w:p w:rsidR="009E0276" w:rsidRDefault="009E0276"/>
        </w:tc>
      </w:tr>
    </w:tbl>
    <w:p w:rsidR="0026648D" w:rsidRDefault="0026648D"/>
    <w:p w:rsidR="00186B38" w:rsidRDefault="00186B38">
      <w:r>
        <w:t xml:space="preserve">This list does not include </w:t>
      </w:r>
      <w:r w:rsidR="00FA3587">
        <w:t>Core corporate leadership roles (Deputy Medical Director, Clinical Directors, and Director of Medical Education) that are appointed by the Chief Operating Officer and Medical Director.</w:t>
      </w:r>
    </w:p>
    <w:p w:rsidR="002610FA" w:rsidRDefault="002610FA">
      <w:r>
        <w:lastRenderedPageBreak/>
        <w:t xml:space="preserve">There are a number of </w:t>
      </w:r>
      <w:r w:rsidR="00611816">
        <w:t xml:space="preserve">postgraduate </w:t>
      </w:r>
      <w:r>
        <w:t xml:space="preserve">educational roles </w:t>
      </w:r>
      <w:r w:rsidR="00611816">
        <w:t>that are appointed by the Director of Medical Education and funded from HEE that are not included in this list.</w:t>
      </w:r>
    </w:p>
    <w:p w:rsidR="00A95F10" w:rsidRDefault="00A95F10">
      <w:r>
        <w:t xml:space="preserve">This is not an exhaustive list but indicates the resource allocation for key posts aligned to the Trusts strategic intent. Some roles not described in this can be supported with allocated SPA time by a </w:t>
      </w:r>
      <w:r w:rsidR="0026533D">
        <w:t>by this must be prospectively</w:t>
      </w:r>
      <w:r>
        <w:t xml:space="preserve"> agreed during the job planning reprocess </w:t>
      </w:r>
      <w:r w:rsidR="0026533D">
        <w:t>by the department/service</w:t>
      </w:r>
      <w:r>
        <w:t xml:space="preserve"> lead, Divisional Management Team and Corporate </w:t>
      </w:r>
      <w:r w:rsidR="0026533D">
        <w:t>job planning lead.</w:t>
      </w:r>
    </w:p>
    <w:sectPr w:rsidR="00A95F10" w:rsidSect="00B66F8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3D" w:rsidRDefault="0026533D" w:rsidP="0026533D">
      <w:pPr>
        <w:spacing w:after="0" w:line="240" w:lineRule="auto"/>
      </w:pPr>
      <w:r>
        <w:separator/>
      </w:r>
    </w:p>
  </w:endnote>
  <w:endnote w:type="continuationSeparator" w:id="0">
    <w:p w:rsidR="0026533D" w:rsidRDefault="0026533D" w:rsidP="0026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3D" w:rsidRDefault="0026533D" w:rsidP="0026533D">
      <w:pPr>
        <w:spacing w:after="0" w:line="240" w:lineRule="auto"/>
      </w:pPr>
      <w:r>
        <w:separator/>
      </w:r>
    </w:p>
  </w:footnote>
  <w:footnote w:type="continuationSeparator" w:id="0">
    <w:p w:rsidR="0026533D" w:rsidRDefault="0026533D" w:rsidP="0026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3D" w:rsidRDefault="0026533D">
    <w:pPr>
      <w:pStyle w:val="Header"/>
    </w:pPr>
    <w:r>
      <w:t xml:space="preserve">Appendix A: Supporting Professional Activity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4735"/>
    <w:multiLevelType w:val="hybridMultilevel"/>
    <w:tmpl w:val="19BE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3"/>
    <w:rsid w:val="000E4BBD"/>
    <w:rsid w:val="00186B38"/>
    <w:rsid w:val="001A2656"/>
    <w:rsid w:val="002610FA"/>
    <w:rsid w:val="0026533D"/>
    <w:rsid w:val="0026648D"/>
    <w:rsid w:val="00323955"/>
    <w:rsid w:val="003D30FB"/>
    <w:rsid w:val="00437824"/>
    <w:rsid w:val="00481377"/>
    <w:rsid w:val="005312BA"/>
    <w:rsid w:val="00532DB4"/>
    <w:rsid w:val="005A6715"/>
    <w:rsid w:val="00611816"/>
    <w:rsid w:val="0079199D"/>
    <w:rsid w:val="009E0276"/>
    <w:rsid w:val="00A54B70"/>
    <w:rsid w:val="00A81B52"/>
    <w:rsid w:val="00A95F10"/>
    <w:rsid w:val="00B0452D"/>
    <w:rsid w:val="00B66F83"/>
    <w:rsid w:val="00E60919"/>
    <w:rsid w:val="00EB51DA"/>
    <w:rsid w:val="00FA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816"/>
    <w:pPr>
      <w:ind w:left="720"/>
      <w:contextualSpacing/>
    </w:pPr>
  </w:style>
  <w:style w:type="paragraph" w:styleId="Header">
    <w:name w:val="header"/>
    <w:basedOn w:val="Normal"/>
    <w:link w:val="HeaderChar"/>
    <w:uiPriority w:val="99"/>
    <w:unhideWhenUsed/>
    <w:rsid w:val="0026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3D"/>
  </w:style>
  <w:style w:type="paragraph" w:styleId="Footer">
    <w:name w:val="footer"/>
    <w:basedOn w:val="Normal"/>
    <w:link w:val="FooterChar"/>
    <w:uiPriority w:val="99"/>
    <w:unhideWhenUsed/>
    <w:rsid w:val="0026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816"/>
    <w:pPr>
      <w:ind w:left="720"/>
      <w:contextualSpacing/>
    </w:pPr>
  </w:style>
  <w:style w:type="paragraph" w:styleId="Header">
    <w:name w:val="header"/>
    <w:basedOn w:val="Normal"/>
    <w:link w:val="HeaderChar"/>
    <w:uiPriority w:val="99"/>
    <w:unhideWhenUsed/>
    <w:rsid w:val="0026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3D"/>
  </w:style>
  <w:style w:type="paragraph" w:styleId="Footer">
    <w:name w:val="footer"/>
    <w:basedOn w:val="Normal"/>
    <w:link w:val="FooterChar"/>
    <w:uiPriority w:val="99"/>
    <w:unhideWhenUsed/>
    <w:rsid w:val="0026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Collins</dc:creator>
  <cp:lastModifiedBy>Rebecca Hawtin</cp:lastModifiedBy>
  <cp:revision>2</cp:revision>
  <dcterms:created xsi:type="dcterms:W3CDTF">2021-11-18T16:27:00Z</dcterms:created>
  <dcterms:modified xsi:type="dcterms:W3CDTF">2021-11-18T16:27:00Z</dcterms:modified>
</cp:coreProperties>
</file>