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2EFE" w14:textId="5043B974" w:rsidR="00B869AA" w:rsidRPr="00960289" w:rsidRDefault="00B869AA" w:rsidP="00960289">
      <w:pPr>
        <w:spacing w:before="120" w:after="120"/>
        <w:jc w:val="center"/>
        <w:rPr>
          <w:rFonts w:cs="Arial"/>
          <w:b/>
          <w:bCs/>
          <w:szCs w:val="22"/>
        </w:rPr>
      </w:pPr>
      <w:r w:rsidRPr="00960289">
        <w:rPr>
          <w:rFonts w:cs="Arial"/>
          <w:b/>
          <w:bCs/>
          <w:szCs w:val="22"/>
        </w:rPr>
        <w:t xml:space="preserve">Appendix </w:t>
      </w:r>
      <w:r w:rsidR="0062129E" w:rsidRPr="00960289">
        <w:rPr>
          <w:rFonts w:cs="Arial"/>
          <w:b/>
          <w:bCs/>
          <w:szCs w:val="22"/>
        </w:rPr>
        <w:t>C</w:t>
      </w:r>
      <w:r w:rsidRPr="00960289">
        <w:rPr>
          <w:rFonts w:cs="Arial"/>
          <w:b/>
          <w:bCs/>
          <w:szCs w:val="22"/>
        </w:rPr>
        <w:t xml:space="preserve"> - Terms of Reference</w:t>
      </w:r>
    </w:p>
    <w:p w14:paraId="5D5CA14F" w14:textId="77777777" w:rsidR="00B869AA" w:rsidRPr="00960289" w:rsidRDefault="00B869AA" w:rsidP="00960289">
      <w:pPr>
        <w:spacing w:before="120" w:after="120"/>
        <w:jc w:val="center"/>
        <w:rPr>
          <w:rFonts w:cs="Arial"/>
          <w:b/>
          <w:bCs/>
          <w:szCs w:val="22"/>
        </w:rPr>
      </w:pPr>
      <w:r w:rsidRPr="00960289">
        <w:rPr>
          <w:rFonts w:cs="Arial"/>
          <w:b/>
          <w:bCs/>
          <w:szCs w:val="22"/>
        </w:rPr>
        <w:t>Joint Local Negotiating Committee</w:t>
      </w:r>
    </w:p>
    <w:tbl>
      <w:tblPr>
        <w:tblStyle w:val="TableGrid1"/>
        <w:tblW w:w="0" w:type="auto"/>
        <w:tblInd w:w="137" w:type="dxa"/>
        <w:tblLayout w:type="fixed"/>
        <w:tblLook w:val="04A0" w:firstRow="1" w:lastRow="0" w:firstColumn="1" w:lastColumn="0" w:noHBand="0" w:noVBand="1"/>
      </w:tblPr>
      <w:tblGrid>
        <w:gridCol w:w="1389"/>
        <w:gridCol w:w="1134"/>
        <w:gridCol w:w="1984"/>
        <w:gridCol w:w="1985"/>
        <w:gridCol w:w="2864"/>
      </w:tblGrid>
      <w:tr w:rsidR="00960289" w:rsidRPr="00960289" w14:paraId="70CD4AE4" w14:textId="77777777" w:rsidTr="00960289">
        <w:tc>
          <w:tcPr>
            <w:tcW w:w="9356" w:type="dxa"/>
            <w:gridSpan w:val="5"/>
          </w:tcPr>
          <w:p w14:paraId="45A54823" w14:textId="77777777" w:rsidR="00B869AA" w:rsidRPr="00960289" w:rsidRDefault="00B869AA" w:rsidP="00960289">
            <w:pPr>
              <w:spacing w:before="120" w:after="120"/>
              <w:ind w:left="720" w:hanging="720"/>
              <w:jc w:val="left"/>
              <w:rPr>
                <w:rFonts w:eastAsia="Calibri" w:cs="Arial"/>
                <w:b/>
                <w:bCs/>
                <w:sz w:val="18"/>
                <w:szCs w:val="18"/>
              </w:rPr>
            </w:pPr>
            <w:r w:rsidRPr="00960289">
              <w:rPr>
                <w:rFonts w:eastAsia="Calibri" w:cs="Arial"/>
                <w:b/>
                <w:bCs/>
                <w:sz w:val="18"/>
                <w:szCs w:val="18"/>
              </w:rPr>
              <w:t>Document Change Control</w:t>
            </w:r>
          </w:p>
        </w:tc>
      </w:tr>
      <w:tr w:rsidR="00960289" w:rsidRPr="00960289" w14:paraId="320AAD75" w14:textId="77777777" w:rsidTr="00960289">
        <w:trPr>
          <w:trHeight w:val="839"/>
        </w:trPr>
        <w:tc>
          <w:tcPr>
            <w:tcW w:w="1389" w:type="dxa"/>
          </w:tcPr>
          <w:p w14:paraId="0EBF076A" w14:textId="77777777" w:rsidR="00B869AA" w:rsidRPr="00960289" w:rsidRDefault="00B869AA" w:rsidP="00960289">
            <w:pPr>
              <w:spacing w:before="120" w:after="120"/>
              <w:ind w:left="680" w:hanging="680"/>
              <w:jc w:val="left"/>
              <w:rPr>
                <w:rFonts w:eastAsia="Calibri" w:cs="Arial"/>
                <w:b/>
                <w:bCs/>
                <w:sz w:val="18"/>
                <w:szCs w:val="18"/>
              </w:rPr>
            </w:pPr>
            <w:r w:rsidRPr="00960289">
              <w:rPr>
                <w:rFonts w:eastAsia="Calibri" w:cs="Arial"/>
                <w:b/>
                <w:bCs/>
                <w:sz w:val="18"/>
                <w:szCs w:val="18"/>
              </w:rPr>
              <w:t xml:space="preserve">Date of </w:t>
            </w:r>
          </w:p>
          <w:p w14:paraId="518C2747" w14:textId="77777777" w:rsidR="00B869AA" w:rsidRPr="00960289" w:rsidRDefault="00B869AA" w:rsidP="00960289">
            <w:pPr>
              <w:spacing w:before="120" w:after="120"/>
              <w:ind w:left="680" w:hanging="680"/>
              <w:jc w:val="left"/>
              <w:rPr>
                <w:rFonts w:eastAsia="Calibri" w:cs="Arial"/>
                <w:b/>
                <w:bCs/>
                <w:sz w:val="18"/>
                <w:szCs w:val="18"/>
              </w:rPr>
            </w:pPr>
            <w:r w:rsidRPr="00960289">
              <w:rPr>
                <w:rFonts w:eastAsia="Calibri" w:cs="Arial"/>
                <w:b/>
                <w:bCs/>
                <w:sz w:val="18"/>
                <w:szCs w:val="18"/>
              </w:rPr>
              <w:t>version</w:t>
            </w:r>
          </w:p>
        </w:tc>
        <w:tc>
          <w:tcPr>
            <w:tcW w:w="1134" w:type="dxa"/>
          </w:tcPr>
          <w:p w14:paraId="08CBAA5C" w14:textId="77777777" w:rsidR="00B869AA" w:rsidRPr="00960289" w:rsidRDefault="00B869AA" w:rsidP="00960289">
            <w:pPr>
              <w:spacing w:before="120" w:after="120"/>
              <w:ind w:left="680" w:hanging="680"/>
              <w:jc w:val="left"/>
              <w:rPr>
                <w:rFonts w:eastAsia="Calibri" w:cs="Arial"/>
                <w:b/>
                <w:bCs/>
                <w:sz w:val="18"/>
                <w:szCs w:val="18"/>
              </w:rPr>
            </w:pPr>
            <w:r w:rsidRPr="00960289">
              <w:rPr>
                <w:rFonts w:eastAsia="Calibri" w:cs="Arial"/>
                <w:b/>
                <w:bCs/>
                <w:sz w:val="18"/>
                <w:szCs w:val="18"/>
              </w:rPr>
              <w:t>Version</w:t>
            </w:r>
          </w:p>
          <w:p w14:paraId="08533D8D" w14:textId="77777777" w:rsidR="00B869AA" w:rsidRPr="00960289" w:rsidRDefault="00B869AA" w:rsidP="00960289">
            <w:pPr>
              <w:spacing w:before="120" w:after="120"/>
              <w:ind w:left="680" w:hanging="680"/>
              <w:jc w:val="left"/>
              <w:rPr>
                <w:rFonts w:eastAsia="Calibri" w:cs="Arial"/>
                <w:b/>
                <w:bCs/>
                <w:sz w:val="18"/>
                <w:szCs w:val="18"/>
              </w:rPr>
            </w:pPr>
            <w:r w:rsidRPr="00960289">
              <w:rPr>
                <w:rFonts w:eastAsia="Calibri" w:cs="Arial"/>
                <w:b/>
                <w:bCs/>
                <w:sz w:val="18"/>
                <w:szCs w:val="18"/>
              </w:rPr>
              <w:t>number</w:t>
            </w:r>
          </w:p>
        </w:tc>
        <w:tc>
          <w:tcPr>
            <w:tcW w:w="1984" w:type="dxa"/>
          </w:tcPr>
          <w:p w14:paraId="7C6D118D" w14:textId="77777777" w:rsidR="00B869AA" w:rsidRPr="00960289" w:rsidRDefault="00B869AA" w:rsidP="00960289">
            <w:pPr>
              <w:spacing w:before="120" w:after="120"/>
              <w:ind w:left="680" w:hanging="680"/>
              <w:jc w:val="left"/>
              <w:rPr>
                <w:rFonts w:eastAsia="Calibri" w:cs="Arial"/>
                <w:b/>
                <w:bCs/>
                <w:sz w:val="18"/>
                <w:szCs w:val="18"/>
              </w:rPr>
            </w:pPr>
            <w:r w:rsidRPr="00960289">
              <w:rPr>
                <w:rFonts w:eastAsia="Calibri" w:cs="Arial"/>
                <w:b/>
                <w:bCs/>
                <w:sz w:val="18"/>
                <w:szCs w:val="18"/>
              </w:rPr>
              <w:t>Type of Revision</w:t>
            </w:r>
          </w:p>
          <w:p w14:paraId="7F474B6D" w14:textId="77777777" w:rsidR="00B869AA" w:rsidRPr="00960289" w:rsidRDefault="00B869AA" w:rsidP="00960289">
            <w:pPr>
              <w:spacing w:before="120" w:after="120"/>
              <w:ind w:left="680" w:hanging="680"/>
              <w:jc w:val="left"/>
              <w:rPr>
                <w:rFonts w:eastAsia="Calibri" w:cs="Arial"/>
                <w:b/>
                <w:bCs/>
                <w:sz w:val="18"/>
                <w:szCs w:val="18"/>
              </w:rPr>
            </w:pPr>
            <w:r w:rsidRPr="00960289">
              <w:rPr>
                <w:rFonts w:eastAsia="Calibri" w:cs="Arial"/>
                <w:b/>
                <w:bCs/>
                <w:sz w:val="18"/>
                <w:szCs w:val="18"/>
              </w:rPr>
              <w:t>Major/minor</w:t>
            </w:r>
          </w:p>
        </w:tc>
        <w:tc>
          <w:tcPr>
            <w:tcW w:w="1985" w:type="dxa"/>
          </w:tcPr>
          <w:p w14:paraId="6D258284" w14:textId="77777777" w:rsidR="00B869AA" w:rsidRPr="00960289" w:rsidRDefault="00B869AA" w:rsidP="00960289">
            <w:pPr>
              <w:spacing w:before="120" w:after="120"/>
              <w:jc w:val="left"/>
              <w:rPr>
                <w:rFonts w:eastAsia="Calibri" w:cs="Arial"/>
                <w:b/>
                <w:bCs/>
                <w:sz w:val="18"/>
                <w:szCs w:val="18"/>
              </w:rPr>
            </w:pPr>
            <w:r w:rsidRPr="00960289">
              <w:rPr>
                <w:rFonts w:eastAsia="Calibri" w:cs="Arial"/>
                <w:b/>
                <w:bCs/>
                <w:sz w:val="18"/>
                <w:szCs w:val="18"/>
              </w:rPr>
              <w:t>Description of Revisions</w:t>
            </w:r>
          </w:p>
        </w:tc>
        <w:tc>
          <w:tcPr>
            <w:tcW w:w="2864" w:type="dxa"/>
          </w:tcPr>
          <w:p w14:paraId="530CEDC6" w14:textId="77777777" w:rsidR="00B869AA" w:rsidRPr="00960289" w:rsidRDefault="00B869AA" w:rsidP="00960289">
            <w:pPr>
              <w:spacing w:before="120" w:after="120"/>
              <w:ind w:left="680" w:hanging="680"/>
              <w:jc w:val="left"/>
              <w:rPr>
                <w:rFonts w:eastAsia="Calibri" w:cs="Arial"/>
                <w:b/>
                <w:bCs/>
                <w:sz w:val="18"/>
                <w:szCs w:val="18"/>
              </w:rPr>
            </w:pPr>
            <w:r w:rsidRPr="00960289">
              <w:rPr>
                <w:rFonts w:eastAsia="Calibri" w:cs="Arial"/>
                <w:b/>
                <w:bCs/>
                <w:sz w:val="18"/>
                <w:szCs w:val="18"/>
              </w:rPr>
              <w:t>Author</w:t>
            </w:r>
          </w:p>
        </w:tc>
      </w:tr>
      <w:tr w:rsidR="00960289" w:rsidRPr="00960289" w14:paraId="6418B7C1" w14:textId="77777777" w:rsidTr="00960289">
        <w:tc>
          <w:tcPr>
            <w:tcW w:w="1389" w:type="dxa"/>
          </w:tcPr>
          <w:p w14:paraId="5EAD23E4" w14:textId="77777777" w:rsidR="00B869AA" w:rsidRPr="00960289" w:rsidRDefault="00B869AA" w:rsidP="00960289">
            <w:pPr>
              <w:spacing w:before="120" w:after="120"/>
              <w:ind w:left="720" w:hanging="720"/>
              <w:jc w:val="left"/>
              <w:rPr>
                <w:rFonts w:eastAsia="Calibri" w:cs="Arial"/>
                <w:bCs/>
                <w:sz w:val="18"/>
                <w:szCs w:val="18"/>
              </w:rPr>
            </w:pPr>
            <w:r w:rsidRPr="00960289">
              <w:rPr>
                <w:rFonts w:eastAsia="Calibri" w:cs="Arial"/>
                <w:bCs/>
                <w:sz w:val="18"/>
                <w:szCs w:val="18"/>
              </w:rPr>
              <w:t>28 Dec 22</w:t>
            </w:r>
          </w:p>
        </w:tc>
        <w:tc>
          <w:tcPr>
            <w:tcW w:w="1134" w:type="dxa"/>
          </w:tcPr>
          <w:p w14:paraId="3346B91F" w14:textId="77777777" w:rsidR="00B869AA" w:rsidRPr="00960289" w:rsidRDefault="00B869AA" w:rsidP="00960289">
            <w:pPr>
              <w:spacing w:before="120" w:after="120"/>
              <w:ind w:left="720" w:hanging="720"/>
              <w:jc w:val="left"/>
              <w:rPr>
                <w:rFonts w:eastAsia="Calibri" w:cs="Arial"/>
                <w:bCs/>
                <w:sz w:val="18"/>
                <w:szCs w:val="18"/>
              </w:rPr>
            </w:pPr>
            <w:r w:rsidRPr="00960289">
              <w:rPr>
                <w:rFonts w:eastAsia="Calibri" w:cs="Arial"/>
                <w:bCs/>
                <w:sz w:val="18"/>
                <w:szCs w:val="18"/>
              </w:rPr>
              <w:t>1.1</w:t>
            </w:r>
          </w:p>
        </w:tc>
        <w:tc>
          <w:tcPr>
            <w:tcW w:w="1984" w:type="dxa"/>
          </w:tcPr>
          <w:p w14:paraId="3B38A531" w14:textId="77777777" w:rsidR="00B869AA" w:rsidRPr="00960289" w:rsidRDefault="00B869AA" w:rsidP="00960289">
            <w:pPr>
              <w:spacing w:before="120" w:after="120"/>
              <w:ind w:left="720" w:hanging="720"/>
              <w:jc w:val="left"/>
              <w:rPr>
                <w:rFonts w:eastAsia="Calibri" w:cs="Arial"/>
                <w:bCs/>
                <w:sz w:val="18"/>
                <w:szCs w:val="18"/>
              </w:rPr>
            </w:pPr>
            <w:r w:rsidRPr="00960289">
              <w:rPr>
                <w:rFonts w:eastAsia="Calibri" w:cs="Arial"/>
                <w:bCs/>
                <w:sz w:val="18"/>
                <w:szCs w:val="18"/>
              </w:rPr>
              <w:t>Minor</w:t>
            </w:r>
          </w:p>
        </w:tc>
        <w:tc>
          <w:tcPr>
            <w:tcW w:w="1985" w:type="dxa"/>
          </w:tcPr>
          <w:p w14:paraId="072614DB" w14:textId="77777777" w:rsidR="00B869AA" w:rsidRPr="00960289" w:rsidRDefault="00B869AA" w:rsidP="00960289">
            <w:pPr>
              <w:spacing w:before="120" w:after="120"/>
              <w:jc w:val="left"/>
              <w:rPr>
                <w:rFonts w:eastAsia="Calibri" w:cs="Arial"/>
                <w:bCs/>
                <w:sz w:val="18"/>
                <w:szCs w:val="18"/>
              </w:rPr>
            </w:pPr>
            <w:r w:rsidRPr="00960289">
              <w:rPr>
                <w:rFonts w:eastAsia="Calibri" w:cs="Arial"/>
                <w:bCs/>
                <w:sz w:val="18"/>
                <w:szCs w:val="18"/>
              </w:rPr>
              <w:t>Format Change, Minor amendments</w:t>
            </w:r>
          </w:p>
        </w:tc>
        <w:tc>
          <w:tcPr>
            <w:tcW w:w="2864" w:type="dxa"/>
          </w:tcPr>
          <w:p w14:paraId="5AFAD70B" w14:textId="77777777" w:rsidR="00B869AA" w:rsidRPr="00960289" w:rsidRDefault="00B869AA" w:rsidP="00960289">
            <w:pPr>
              <w:spacing w:before="120" w:after="120"/>
              <w:jc w:val="left"/>
              <w:rPr>
                <w:rFonts w:eastAsia="Calibri" w:cs="Arial"/>
                <w:bCs/>
                <w:sz w:val="18"/>
                <w:szCs w:val="18"/>
              </w:rPr>
            </w:pPr>
            <w:r w:rsidRPr="00960289">
              <w:rPr>
                <w:rFonts w:eastAsia="Calibri" w:cs="Arial"/>
                <w:bCs/>
                <w:sz w:val="18"/>
                <w:szCs w:val="18"/>
              </w:rPr>
              <w:t>Ian Crowley</w:t>
            </w:r>
          </w:p>
        </w:tc>
      </w:tr>
    </w:tbl>
    <w:p w14:paraId="19B41AC3" w14:textId="77777777" w:rsidR="00B869AA" w:rsidRPr="00960289" w:rsidRDefault="00B869AA" w:rsidP="00960289">
      <w:pPr>
        <w:pStyle w:val="ListParagraph"/>
        <w:spacing w:before="120" w:after="120"/>
        <w:ind w:left="792"/>
        <w:rPr>
          <w:rFonts w:cs="Arial"/>
          <w:sz w:val="18"/>
          <w:szCs w:val="18"/>
        </w:rPr>
      </w:pPr>
    </w:p>
    <w:tbl>
      <w:tblPr>
        <w:tblW w:w="4777" w:type="pct"/>
        <w:tblInd w:w="157" w:type="dxa"/>
        <w:tblCellMar>
          <w:top w:w="15" w:type="dxa"/>
          <w:left w:w="15" w:type="dxa"/>
          <w:bottom w:w="15" w:type="dxa"/>
          <w:right w:w="15" w:type="dxa"/>
        </w:tblCellMar>
        <w:tblLook w:val="04A0" w:firstRow="1" w:lastRow="0" w:firstColumn="1" w:lastColumn="0" w:noHBand="0" w:noVBand="1"/>
      </w:tblPr>
      <w:tblGrid>
        <w:gridCol w:w="4007"/>
        <w:gridCol w:w="5290"/>
      </w:tblGrid>
      <w:tr w:rsidR="00960289" w:rsidRPr="00960289" w14:paraId="65B32ADC" w14:textId="77777777" w:rsidTr="00F71569">
        <w:tc>
          <w:tcPr>
            <w:tcW w:w="2155" w:type="pct"/>
            <w:tcBorders>
              <w:top w:val="single" w:sz="4" w:space="0" w:color="006DBF"/>
              <w:left w:val="single" w:sz="8" w:space="0" w:color="006DBC"/>
              <w:bottom w:val="single" w:sz="4" w:space="0" w:color="006DBF"/>
              <w:right w:val="single" w:sz="8" w:space="0" w:color="006DBC"/>
            </w:tcBorders>
            <w:shd w:val="clear" w:color="auto" w:fill="0070C0"/>
            <w:vAlign w:val="center"/>
          </w:tcPr>
          <w:p w14:paraId="2D737CE3" w14:textId="77777777" w:rsidR="00B869AA" w:rsidRPr="00960289" w:rsidRDefault="00B869AA" w:rsidP="00960289">
            <w:pPr>
              <w:spacing w:before="120" w:after="120"/>
              <w:rPr>
                <w:rFonts w:cs="Arial"/>
                <w:b/>
                <w:bCs/>
                <w:sz w:val="18"/>
                <w:szCs w:val="18"/>
              </w:rPr>
            </w:pPr>
            <w:r w:rsidRPr="00960289">
              <w:rPr>
                <w:rFonts w:cs="Arial"/>
                <w:b/>
                <w:bCs/>
                <w:sz w:val="18"/>
                <w:szCs w:val="18"/>
              </w:rPr>
              <w:t xml:space="preserve">Date Adopted </w:t>
            </w:r>
          </w:p>
        </w:tc>
        <w:tc>
          <w:tcPr>
            <w:tcW w:w="2845" w:type="pct"/>
            <w:tcBorders>
              <w:top w:val="single" w:sz="4" w:space="0" w:color="006DBF"/>
              <w:left w:val="single" w:sz="8" w:space="0" w:color="006DBC"/>
              <w:bottom w:val="single" w:sz="4" w:space="0" w:color="006DBF"/>
              <w:right w:val="single" w:sz="4" w:space="0" w:color="006DBF"/>
            </w:tcBorders>
            <w:vAlign w:val="center"/>
          </w:tcPr>
          <w:p w14:paraId="428AE655" w14:textId="77777777" w:rsidR="00B869AA" w:rsidRPr="00960289" w:rsidRDefault="00B869AA" w:rsidP="00960289">
            <w:pPr>
              <w:spacing w:before="120" w:after="120"/>
              <w:rPr>
                <w:rFonts w:cs="Arial"/>
                <w:sz w:val="18"/>
                <w:szCs w:val="18"/>
              </w:rPr>
            </w:pPr>
            <w:r w:rsidRPr="00960289">
              <w:rPr>
                <w:rFonts w:cs="Arial"/>
                <w:sz w:val="18"/>
                <w:szCs w:val="18"/>
              </w:rPr>
              <w:t xml:space="preserve"> Jul 2017</w:t>
            </w:r>
          </w:p>
        </w:tc>
      </w:tr>
      <w:tr w:rsidR="00960289" w:rsidRPr="00960289" w14:paraId="397663D2" w14:textId="77777777" w:rsidTr="00F71569">
        <w:tc>
          <w:tcPr>
            <w:tcW w:w="2155" w:type="pct"/>
            <w:tcBorders>
              <w:top w:val="single" w:sz="4" w:space="0" w:color="006DBF"/>
              <w:left w:val="single" w:sz="8" w:space="0" w:color="006DBC"/>
              <w:bottom w:val="single" w:sz="4" w:space="0" w:color="006DBF"/>
              <w:right w:val="single" w:sz="8" w:space="0" w:color="006DBC"/>
            </w:tcBorders>
            <w:shd w:val="clear" w:color="auto" w:fill="0070C0"/>
            <w:vAlign w:val="center"/>
          </w:tcPr>
          <w:p w14:paraId="25802DEA" w14:textId="77777777" w:rsidR="00B869AA" w:rsidRPr="00960289" w:rsidRDefault="00B869AA" w:rsidP="00960289">
            <w:pPr>
              <w:spacing w:before="120" w:after="120"/>
              <w:rPr>
                <w:rFonts w:cs="Arial"/>
                <w:b/>
                <w:bCs/>
                <w:sz w:val="18"/>
                <w:szCs w:val="18"/>
              </w:rPr>
            </w:pPr>
            <w:r w:rsidRPr="00960289">
              <w:rPr>
                <w:rFonts w:cs="Arial"/>
                <w:b/>
                <w:bCs/>
                <w:sz w:val="18"/>
                <w:szCs w:val="18"/>
              </w:rPr>
              <w:t xml:space="preserve">Review Frequency </w:t>
            </w:r>
          </w:p>
        </w:tc>
        <w:tc>
          <w:tcPr>
            <w:tcW w:w="2845" w:type="pct"/>
            <w:tcBorders>
              <w:top w:val="single" w:sz="4" w:space="0" w:color="006DBF"/>
              <w:left w:val="single" w:sz="8" w:space="0" w:color="006DBC"/>
              <w:bottom w:val="single" w:sz="4" w:space="0" w:color="006DBF"/>
              <w:right w:val="single" w:sz="4" w:space="0" w:color="006DBF"/>
            </w:tcBorders>
            <w:vAlign w:val="center"/>
          </w:tcPr>
          <w:p w14:paraId="416E2461" w14:textId="77777777" w:rsidR="00B869AA" w:rsidRPr="00960289" w:rsidRDefault="00B869AA" w:rsidP="00960289">
            <w:pPr>
              <w:spacing w:before="120" w:after="120"/>
              <w:rPr>
                <w:rFonts w:cs="Arial"/>
                <w:sz w:val="18"/>
                <w:szCs w:val="18"/>
              </w:rPr>
            </w:pPr>
            <w:r w:rsidRPr="00960289">
              <w:rPr>
                <w:rFonts w:cs="Arial"/>
                <w:sz w:val="18"/>
                <w:szCs w:val="18"/>
              </w:rPr>
              <w:t>Annual</w:t>
            </w:r>
          </w:p>
        </w:tc>
      </w:tr>
      <w:tr w:rsidR="00960289" w:rsidRPr="00960289" w14:paraId="4864AAE1" w14:textId="77777777" w:rsidTr="00F71569">
        <w:tc>
          <w:tcPr>
            <w:tcW w:w="2155" w:type="pct"/>
            <w:tcBorders>
              <w:top w:val="single" w:sz="4" w:space="0" w:color="006DBF"/>
              <w:left w:val="single" w:sz="8" w:space="0" w:color="006DBC"/>
              <w:bottom w:val="single" w:sz="4" w:space="0" w:color="006DBF"/>
              <w:right w:val="single" w:sz="8" w:space="0" w:color="006DBC"/>
            </w:tcBorders>
            <w:shd w:val="clear" w:color="auto" w:fill="0070C0"/>
            <w:vAlign w:val="center"/>
            <w:hideMark/>
          </w:tcPr>
          <w:p w14:paraId="0DE04D2D" w14:textId="77777777" w:rsidR="00B869AA" w:rsidRPr="00960289" w:rsidRDefault="00B869AA" w:rsidP="00960289">
            <w:pPr>
              <w:spacing w:before="120" w:after="120"/>
              <w:rPr>
                <w:rFonts w:cs="Arial"/>
                <w:sz w:val="18"/>
                <w:szCs w:val="18"/>
              </w:rPr>
            </w:pPr>
            <w:r w:rsidRPr="00960289">
              <w:rPr>
                <w:rFonts w:cs="Arial"/>
                <w:b/>
                <w:bCs/>
                <w:sz w:val="18"/>
                <w:szCs w:val="18"/>
              </w:rPr>
              <w:t xml:space="preserve">Terms of Reference Drafting </w:t>
            </w:r>
          </w:p>
        </w:tc>
        <w:tc>
          <w:tcPr>
            <w:tcW w:w="2845" w:type="pct"/>
            <w:tcBorders>
              <w:top w:val="single" w:sz="4" w:space="0" w:color="006DBF"/>
              <w:left w:val="single" w:sz="8" w:space="0" w:color="006DBC"/>
              <w:bottom w:val="single" w:sz="4" w:space="0" w:color="006DBF"/>
              <w:right w:val="single" w:sz="4" w:space="0" w:color="006DBF"/>
            </w:tcBorders>
            <w:vAlign w:val="center"/>
          </w:tcPr>
          <w:p w14:paraId="70FD81AD" w14:textId="77777777" w:rsidR="00B869AA" w:rsidRPr="00960289" w:rsidRDefault="00B869AA" w:rsidP="00960289">
            <w:pPr>
              <w:spacing w:before="120" w:after="120"/>
              <w:rPr>
                <w:rFonts w:cs="Arial"/>
                <w:sz w:val="18"/>
                <w:szCs w:val="18"/>
              </w:rPr>
            </w:pPr>
            <w:r w:rsidRPr="00960289">
              <w:rPr>
                <w:rFonts w:cs="Arial"/>
                <w:sz w:val="18"/>
                <w:szCs w:val="18"/>
              </w:rPr>
              <w:t>Deputy Chief People Officer</w:t>
            </w:r>
          </w:p>
        </w:tc>
      </w:tr>
      <w:tr w:rsidR="00960289" w:rsidRPr="00960289" w14:paraId="34FA6B65" w14:textId="77777777" w:rsidTr="00F71569">
        <w:tc>
          <w:tcPr>
            <w:tcW w:w="2155" w:type="pct"/>
            <w:tcBorders>
              <w:top w:val="single" w:sz="4" w:space="0" w:color="006DBF"/>
              <w:left w:val="single" w:sz="8" w:space="0" w:color="006DBF"/>
              <w:bottom w:val="single" w:sz="4" w:space="0" w:color="006DBF"/>
              <w:right w:val="single" w:sz="8" w:space="0" w:color="006DBF"/>
            </w:tcBorders>
            <w:shd w:val="clear" w:color="auto" w:fill="0070C0"/>
            <w:vAlign w:val="center"/>
            <w:hideMark/>
          </w:tcPr>
          <w:p w14:paraId="58FC5C45" w14:textId="77777777" w:rsidR="00B869AA" w:rsidRPr="00960289" w:rsidRDefault="00B869AA" w:rsidP="00960289">
            <w:pPr>
              <w:spacing w:before="120" w:after="120"/>
              <w:rPr>
                <w:rFonts w:cs="Arial"/>
                <w:sz w:val="18"/>
                <w:szCs w:val="18"/>
              </w:rPr>
            </w:pPr>
            <w:r w:rsidRPr="00960289">
              <w:rPr>
                <w:rFonts w:cs="Arial"/>
                <w:b/>
                <w:bCs/>
                <w:sz w:val="18"/>
                <w:szCs w:val="18"/>
              </w:rPr>
              <w:t xml:space="preserve">Review and Approval </w:t>
            </w:r>
          </w:p>
        </w:tc>
        <w:tc>
          <w:tcPr>
            <w:tcW w:w="2845" w:type="pct"/>
            <w:tcBorders>
              <w:top w:val="single" w:sz="4" w:space="0" w:color="006DBF"/>
              <w:left w:val="single" w:sz="8" w:space="0" w:color="006DBF"/>
              <w:bottom w:val="single" w:sz="4" w:space="0" w:color="006DBF"/>
              <w:right w:val="single" w:sz="4" w:space="0" w:color="006DBF"/>
            </w:tcBorders>
            <w:vAlign w:val="center"/>
          </w:tcPr>
          <w:p w14:paraId="646C976F" w14:textId="77777777" w:rsidR="00B869AA" w:rsidRPr="00960289" w:rsidRDefault="00B869AA" w:rsidP="00960289">
            <w:pPr>
              <w:spacing w:before="120" w:after="120"/>
              <w:rPr>
                <w:rFonts w:cs="Arial"/>
                <w:sz w:val="18"/>
                <w:szCs w:val="18"/>
              </w:rPr>
            </w:pPr>
            <w:r w:rsidRPr="00960289">
              <w:rPr>
                <w:rFonts w:cs="Arial"/>
                <w:sz w:val="18"/>
                <w:szCs w:val="18"/>
              </w:rPr>
              <w:t>CPO/CMO and JCC</w:t>
            </w:r>
          </w:p>
        </w:tc>
      </w:tr>
      <w:tr w:rsidR="00960289" w:rsidRPr="00960289" w14:paraId="3D44562B" w14:textId="77777777" w:rsidTr="00F71569">
        <w:trPr>
          <w:trHeight w:val="182"/>
        </w:trPr>
        <w:tc>
          <w:tcPr>
            <w:tcW w:w="2155" w:type="pct"/>
            <w:tcBorders>
              <w:top w:val="single" w:sz="4" w:space="0" w:color="006DBF"/>
              <w:left w:val="single" w:sz="8" w:space="0" w:color="006BBA"/>
              <w:bottom w:val="single" w:sz="4" w:space="0" w:color="006DBF"/>
              <w:right w:val="single" w:sz="8" w:space="0" w:color="006DBA"/>
            </w:tcBorders>
            <w:shd w:val="clear" w:color="auto" w:fill="0070C0"/>
            <w:vAlign w:val="center"/>
            <w:hideMark/>
          </w:tcPr>
          <w:p w14:paraId="05F6D504" w14:textId="77777777" w:rsidR="00B869AA" w:rsidRPr="00960289" w:rsidRDefault="00B869AA" w:rsidP="00960289">
            <w:pPr>
              <w:spacing w:before="120" w:after="120"/>
              <w:rPr>
                <w:rFonts w:cs="Arial"/>
                <w:sz w:val="18"/>
                <w:szCs w:val="18"/>
              </w:rPr>
            </w:pPr>
            <w:r w:rsidRPr="00960289">
              <w:rPr>
                <w:rFonts w:cs="Arial"/>
                <w:b/>
                <w:bCs/>
                <w:sz w:val="18"/>
                <w:szCs w:val="18"/>
              </w:rPr>
              <w:t xml:space="preserve">Adoption and ratification </w:t>
            </w:r>
          </w:p>
        </w:tc>
        <w:tc>
          <w:tcPr>
            <w:tcW w:w="2845" w:type="pct"/>
            <w:tcBorders>
              <w:top w:val="single" w:sz="4" w:space="0" w:color="006DBF"/>
              <w:left w:val="single" w:sz="8" w:space="0" w:color="006DBA"/>
              <w:bottom w:val="single" w:sz="4" w:space="0" w:color="006DBF"/>
              <w:right w:val="single" w:sz="4" w:space="0" w:color="006DBF"/>
            </w:tcBorders>
            <w:vAlign w:val="center"/>
          </w:tcPr>
          <w:p w14:paraId="6956AD54" w14:textId="77777777" w:rsidR="00B869AA" w:rsidRPr="00960289" w:rsidRDefault="00B869AA" w:rsidP="00960289">
            <w:pPr>
              <w:spacing w:before="120" w:after="120"/>
              <w:rPr>
                <w:rFonts w:cs="Arial"/>
                <w:sz w:val="18"/>
                <w:szCs w:val="18"/>
              </w:rPr>
            </w:pPr>
            <w:r w:rsidRPr="00960289">
              <w:rPr>
                <w:rFonts w:cs="Arial"/>
                <w:sz w:val="18"/>
                <w:szCs w:val="18"/>
              </w:rPr>
              <w:t xml:space="preserve"> 5 Jan 23</w:t>
            </w:r>
          </w:p>
        </w:tc>
      </w:tr>
    </w:tbl>
    <w:p w14:paraId="01AA839F" w14:textId="77777777" w:rsidR="00B869AA" w:rsidRPr="00960289" w:rsidRDefault="00B869AA" w:rsidP="00960289">
      <w:pPr>
        <w:pStyle w:val="ListParagraph"/>
        <w:spacing w:before="120" w:after="120"/>
        <w:ind w:left="360"/>
        <w:contextualSpacing w:val="0"/>
        <w:rPr>
          <w:rFonts w:cs="Arial"/>
          <w:b/>
          <w:szCs w:val="22"/>
        </w:rPr>
      </w:pPr>
    </w:p>
    <w:p w14:paraId="530CE0D6" w14:textId="77777777" w:rsidR="00B869AA" w:rsidRPr="00960289" w:rsidRDefault="00B869AA" w:rsidP="00960289">
      <w:pPr>
        <w:pStyle w:val="ListParagraph"/>
        <w:numPr>
          <w:ilvl w:val="0"/>
          <w:numId w:val="29"/>
        </w:numPr>
        <w:spacing w:before="120" w:after="120"/>
        <w:contextualSpacing w:val="0"/>
        <w:rPr>
          <w:rFonts w:cs="Arial"/>
          <w:b/>
          <w:szCs w:val="22"/>
        </w:rPr>
      </w:pPr>
      <w:r w:rsidRPr="00960289">
        <w:rPr>
          <w:rFonts w:cs="Arial"/>
          <w:b/>
          <w:szCs w:val="22"/>
        </w:rPr>
        <w:t>Purpose.  The Joint Local Negotiating Committee (JLNC) is:</w:t>
      </w:r>
    </w:p>
    <w:p w14:paraId="301A65A8" w14:textId="77777777" w:rsidR="00B869AA" w:rsidRPr="00960289" w:rsidRDefault="00B869AA" w:rsidP="00960289">
      <w:pPr>
        <w:pStyle w:val="ListParagraph"/>
        <w:numPr>
          <w:ilvl w:val="1"/>
          <w:numId w:val="29"/>
        </w:numPr>
        <w:tabs>
          <w:tab w:val="left" w:pos="-1440"/>
        </w:tabs>
        <w:snapToGrid w:val="0"/>
        <w:spacing w:before="120" w:after="120"/>
        <w:ind w:left="709" w:firstLine="1"/>
        <w:jc w:val="left"/>
        <w:rPr>
          <w:rFonts w:cs="Arial"/>
          <w:szCs w:val="22"/>
        </w:rPr>
      </w:pPr>
      <w:r w:rsidRPr="00960289">
        <w:rPr>
          <w:rFonts w:cs="Arial"/>
          <w:szCs w:val="22"/>
        </w:rPr>
        <w:t xml:space="preserve">To agree terms and conditions of service, working arrangements, </w:t>
      </w:r>
      <w:proofErr w:type="gramStart"/>
      <w:r w:rsidRPr="00960289">
        <w:rPr>
          <w:rFonts w:cs="Arial"/>
          <w:szCs w:val="22"/>
        </w:rPr>
        <w:t>policies</w:t>
      </w:r>
      <w:proofErr w:type="gramEnd"/>
      <w:r w:rsidRPr="00960289">
        <w:rPr>
          <w:rFonts w:cs="Arial"/>
          <w:szCs w:val="22"/>
        </w:rPr>
        <w:t xml:space="preserve"> and procedures relevant exclusively to medical and dental staff in the Trust, including arrangements for the application of national terms and conditions of service where these fall within the remit of local negotiation. The Committee will be the only body recognised by the Trust for these purposes.</w:t>
      </w:r>
    </w:p>
    <w:p w14:paraId="7FBAB7CB" w14:textId="77777777" w:rsidR="00B869AA" w:rsidRPr="00960289" w:rsidRDefault="00B869AA" w:rsidP="00960289">
      <w:pPr>
        <w:pStyle w:val="ListParagraph"/>
        <w:tabs>
          <w:tab w:val="left" w:pos="-1440"/>
        </w:tabs>
        <w:snapToGrid w:val="0"/>
        <w:spacing w:before="120" w:after="120"/>
        <w:ind w:left="710"/>
        <w:jc w:val="left"/>
        <w:rPr>
          <w:rFonts w:cs="Arial"/>
          <w:szCs w:val="22"/>
        </w:rPr>
      </w:pPr>
    </w:p>
    <w:p w14:paraId="3929D7D0" w14:textId="5E414F85" w:rsidR="00B869AA" w:rsidRDefault="00B869AA" w:rsidP="00960289">
      <w:pPr>
        <w:pStyle w:val="ListParagraph"/>
        <w:numPr>
          <w:ilvl w:val="1"/>
          <w:numId w:val="29"/>
        </w:numPr>
        <w:tabs>
          <w:tab w:val="left" w:pos="-1440"/>
        </w:tabs>
        <w:snapToGrid w:val="0"/>
        <w:spacing w:before="120" w:after="120"/>
        <w:ind w:left="709" w:firstLine="1"/>
        <w:jc w:val="left"/>
        <w:rPr>
          <w:rFonts w:cs="Arial"/>
          <w:szCs w:val="22"/>
        </w:rPr>
      </w:pPr>
      <w:r w:rsidRPr="00960289">
        <w:rPr>
          <w:rFonts w:cs="Arial"/>
          <w:szCs w:val="22"/>
        </w:rPr>
        <w:t xml:space="preserve">The Committee will also be a forum through which the Trust will, where appropriate, formally seek the views of the medical and dental staff on relevant matters, including those which are of wider application to the staff of the Trust. (NB. The Trust’s medical staff committee also will play a role in this area) </w:t>
      </w:r>
    </w:p>
    <w:p w14:paraId="0A947FF4" w14:textId="77777777" w:rsidR="00960289" w:rsidRPr="00960289" w:rsidRDefault="00960289" w:rsidP="00960289">
      <w:pPr>
        <w:tabs>
          <w:tab w:val="left" w:pos="-1440"/>
        </w:tabs>
        <w:snapToGrid w:val="0"/>
        <w:spacing w:before="120" w:after="120"/>
        <w:jc w:val="left"/>
        <w:rPr>
          <w:rFonts w:cs="Arial"/>
          <w:szCs w:val="22"/>
        </w:rPr>
      </w:pPr>
    </w:p>
    <w:p w14:paraId="51E17574" w14:textId="77777777" w:rsidR="00960289" w:rsidRPr="00960289" w:rsidRDefault="00B869AA" w:rsidP="00960289">
      <w:pPr>
        <w:pStyle w:val="ListParagraph"/>
        <w:numPr>
          <w:ilvl w:val="0"/>
          <w:numId w:val="29"/>
        </w:numPr>
        <w:spacing w:before="120" w:after="120"/>
        <w:contextualSpacing w:val="0"/>
        <w:rPr>
          <w:rFonts w:cs="Arial"/>
          <w:b/>
          <w:szCs w:val="22"/>
        </w:rPr>
      </w:pPr>
      <w:r w:rsidRPr="00960289">
        <w:rPr>
          <w:rFonts w:cs="Arial"/>
          <w:b/>
          <w:szCs w:val="22"/>
        </w:rPr>
        <w:t>Authority.</w:t>
      </w:r>
      <w:r w:rsidRPr="00960289">
        <w:rPr>
          <w:rFonts w:cs="Arial"/>
          <w:bCs/>
          <w:szCs w:val="22"/>
        </w:rPr>
        <w:t xml:space="preserve">  </w:t>
      </w:r>
    </w:p>
    <w:p w14:paraId="15492427" w14:textId="545166CC" w:rsidR="00B869AA" w:rsidRDefault="00B869AA" w:rsidP="00960289">
      <w:pPr>
        <w:pStyle w:val="ListParagraph"/>
        <w:spacing w:before="120" w:after="120"/>
        <w:ind w:left="360"/>
        <w:contextualSpacing w:val="0"/>
        <w:rPr>
          <w:rFonts w:cs="Arial"/>
          <w:b/>
          <w:szCs w:val="22"/>
        </w:rPr>
      </w:pPr>
      <w:r w:rsidRPr="00960289">
        <w:rPr>
          <w:rFonts w:cs="Arial"/>
          <w:bCs/>
          <w:szCs w:val="22"/>
        </w:rPr>
        <w:t xml:space="preserve">The </w:t>
      </w:r>
      <w:r w:rsidR="00552F08" w:rsidRPr="00960289">
        <w:rPr>
          <w:rFonts w:cs="Arial"/>
          <w:bCs/>
          <w:szCs w:val="22"/>
        </w:rPr>
        <w:t>JLNC</w:t>
      </w:r>
      <w:r w:rsidRPr="00960289">
        <w:rPr>
          <w:rFonts w:cs="Arial"/>
          <w:bCs/>
          <w:szCs w:val="22"/>
        </w:rPr>
        <w:t xml:space="preserve"> is constituted in accordance with the NHS Terms and Conditions of Service Handbook, Annex 26 and is</w:t>
      </w:r>
      <w:r w:rsidRPr="00960289">
        <w:rPr>
          <w:rFonts w:cs="Arial"/>
          <w:b/>
          <w:szCs w:val="22"/>
        </w:rPr>
        <w:t xml:space="preserve"> </w:t>
      </w:r>
      <w:r w:rsidRPr="00960289">
        <w:rPr>
          <w:rFonts w:cs="Arial"/>
          <w:bCs/>
          <w:szCs w:val="22"/>
        </w:rPr>
        <w:t>overseen by the Joint Consultative Committee.</w:t>
      </w:r>
      <w:r w:rsidRPr="00960289">
        <w:rPr>
          <w:rFonts w:cs="Arial"/>
          <w:b/>
          <w:szCs w:val="22"/>
        </w:rPr>
        <w:t xml:space="preserve">  </w:t>
      </w:r>
    </w:p>
    <w:p w14:paraId="09A68538" w14:textId="77777777" w:rsidR="00960289" w:rsidRPr="00960289" w:rsidRDefault="00960289" w:rsidP="00960289">
      <w:pPr>
        <w:pStyle w:val="ListParagraph"/>
        <w:spacing w:before="120" w:after="120"/>
        <w:ind w:left="360"/>
        <w:contextualSpacing w:val="0"/>
        <w:rPr>
          <w:rFonts w:cs="Arial"/>
          <w:b/>
          <w:szCs w:val="22"/>
        </w:rPr>
      </w:pPr>
    </w:p>
    <w:p w14:paraId="31FC9AA0" w14:textId="77777777" w:rsidR="00B869AA" w:rsidRPr="00960289" w:rsidRDefault="00B869AA" w:rsidP="00960289">
      <w:pPr>
        <w:pStyle w:val="ListParagraph"/>
        <w:numPr>
          <w:ilvl w:val="0"/>
          <w:numId w:val="29"/>
        </w:numPr>
        <w:spacing w:before="120" w:after="120"/>
        <w:contextualSpacing w:val="0"/>
        <w:rPr>
          <w:rFonts w:cs="Arial"/>
          <w:szCs w:val="22"/>
        </w:rPr>
      </w:pPr>
      <w:r w:rsidRPr="00960289">
        <w:rPr>
          <w:rFonts w:cs="Arial"/>
          <w:b/>
          <w:szCs w:val="22"/>
        </w:rPr>
        <w:t xml:space="preserve">Membership and Attendance </w:t>
      </w:r>
    </w:p>
    <w:p w14:paraId="42C4B747" w14:textId="77777777" w:rsidR="00B869AA" w:rsidRPr="00960289" w:rsidRDefault="00B869AA" w:rsidP="00960289">
      <w:pPr>
        <w:pStyle w:val="ListParagraph"/>
        <w:numPr>
          <w:ilvl w:val="1"/>
          <w:numId w:val="29"/>
        </w:numPr>
        <w:spacing w:before="120" w:after="120"/>
        <w:contextualSpacing w:val="0"/>
        <w:rPr>
          <w:rFonts w:cs="Arial"/>
          <w:szCs w:val="22"/>
        </w:rPr>
      </w:pPr>
      <w:r w:rsidRPr="00960289">
        <w:rPr>
          <w:rFonts w:cs="Arial"/>
          <w:szCs w:val="22"/>
        </w:rPr>
        <w:t>Membership of the Committee shall be as follows:</w:t>
      </w:r>
    </w:p>
    <w:p w14:paraId="0FB7FFC1" w14:textId="77777777" w:rsidR="00B869AA" w:rsidRPr="00960289" w:rsidRDefault="00B869AA" w:rsidP="00960289">
      <w:pPr>
        <w:pStyle w:val="ListParagraph"/>
        <w:numPr>
          <w:ilvl w:val="2"/>
          <w:numId w:val="29"/>
        </w:numPr>
        <w:spacing w:before="120" w:after="120"/>
        <w:ind w:firstLine="52"/>
        <w:contextualSpacing w:val="0"/>
        <w:rPr>
          <w:rFonts w:cs="Arial"/>
          <w:szCs w:val="22"/>
        </w:rPr>
      </w:pPr>
      <w:r w:rsidRPr="00960289">
        <w:rPr>
          <w:rFonts w:cs="Arial"/>
          <w:szCs w:val="22"/>
        </w:rPr>
        <w:t>8 representatives of medical and dental staff within the Trust nominated by the JCC, broadly representative of the various grades and occupations of medical and dental staff within the Trust. (Staff Side)</w:t>
      </w:r>
    </w:p>
    <w:p w14:paraId="20DB443D" w14:textId="77777777" w:rsidR="00B869AA" w:rsidRPr="00960289" w:rsidRDefault="00B869AA" w:rsidP="00960289">
      <w:pPr>
        <w:pStyle w:val="ListParagraph"/>
        <w:numPr>
          <w:ilvl w:val="2"/>
          <w:numId w:val="29"/>
        </w:numPr>
        <w:spacing w:before="120" w:after="120"/>
        <w:ind w:firstLine="52"/>
        <w:contextualSpacing w:val="0"/>
        <w:rPr>
          <w:rFonts w:cs="Arial"/>
          <w:szCs w:val="22"/>
        </w:rPr>
      </w:pPr>
      <w:r w:rsidRPr="00960289">
        <w:rPr>
          <w:rFonts w:cs="Arial"/>
          <w:szCs w:val="22"/>
        </w:rPr>
        <w:t>6 representatives of the management of the Trust (Management Side)</w:t>
      </w:r>
    </w:p>
    <w:p w14:paraId="16D5A9AF" w14:textId="77777777" w:rsidR="00B869AA" w:rsidRPr="00960289" w:rsidRDefault="00B869AA" w:rsidP="00960289">
      <w:pPr>
        <w:pStyle w:val="ListParagraph"/>
        <w:numPr>
          <w:ilvl w:val="2"/>
          <w:numId w:val="29"/>
        </w:numPr>
        <w:spacing w:before="120" w:after="120"/>
        <w:ind w:firstLine="52"/>
        <w:contextualSpacing w:val="0"/>
        <w:rPr>
          <w:rFonts w:cs="Arial"/>
          <w:szCs w:val="22"/>
        </w:rPr>
      </w:pPr>
      <w:r w:rsidRPr="00960289">
        <w:rPr>
          <w:rFonts w:cs="Arial"/>
          <w:szCs w:val="22"/>
        </w:rPr>
        <w:lastRenderedPageBreak/>
        <w:t>A Full-time official of the British Medical Association and/or British Dental Association may attend and participate in meetings.</w:t>
      </w:r>
    </w:p>
    <w:p w14:paraId="1DDB6A08" w14:textId="77777777" w:rsidR="00B869AA" w:rsidRPr="00960289" w:rsidRDefault="00B869AA" w:rsidP="00960289">
      <w:pPr>
        <w:pStyle w:val="ListParagraph"/>
        <w:numPr>
          <w:ilvl w:val="1"/>
          <w:numId w:val="29"/>
        </w:numPr>
        <w:spacing w:before="120" w:after="120"/>
        <w:ind w:left="709" w:firstLine="1"/>
        <w:contextualSpacing w:val="0"/>
        <w:rPr>
          <w:rFonts w:cs="Arial"/>
          <w:szCs w:val="22"/>
        </w:rPr>
      </w:pPr>
      <w:r w:rsidRPr="00960289">
        <w:rPr>
          <w:rFonts w:cs="Arial"/>
          <w:szCs w:val="22"/>
        </w:rPr>
        <w:t xml:space="preserve">  Where possible, deputies will be appointed to attend meetings in the absence of the principal member(s).</w:t>
      </w:r>
    </w:p>
    <w:p w14:paraId="057F6504" w14:textId="77777777" w:rsidR="00B869AA" w:rsidRPr="00960289" w:rsidRDefault="00B869AA" w:rsidP="00960289">
      <w:pPr>
        <w:pStyle w:val="ListParagraph"/>
        <w:numPr>
          <w:ilvl w:val="1"/>
          <w:numId w:val="29"/>
        </w:numPr>
        <w:spacing w:before="120" w:after="120"/>
        <w:ind w:left="709" w:firstLine="1"/>
        <w:contextualSpacing w:val="0"/>
        <w:rPr>
          <w:rFonts w:cs="Arial"/>
          <w:szCs w:val="22"/>
        </w:rPr>
      </w:pPr>
      <w:r w:rsidRPr="00960289">
        <w:rPr>
          <w:rFonts w:cs="Arial"/>
          <w:szCs w:val="22"/>
        </w:rPr>
        <w:t>The Committee may by agreement invite any other person to attend a meeting of the Committee. Any such invitee will not be eligible to vote nor counted in a quorum.</w:t>
      </w:r>
    </w:p>
    <w:p w14:paraId="0352EF19" w14:textId="066F895F" w:rsidR="00B869AA" w:rsidRDefault="00B869AA" w:rsidP="00960289">
      <w:pPr>
        <w:pStyle w:val="ListParagraph"/>
        <w:numPr>
          <w:ilvl w:val="1"/>
          <w:numId w:val="29"/>
        </w:numPr>
        <w:spacing w:before="120" w:after="120"/>
        <w:ind w:left="709" w:firstLine="1"/>
        <w:contextualSpacing w:val="0"/>
        <w:rPr>
          <w:rFonts w:cs="Arial"/>
          <w:szCs w:val="22"/>
        </w:rPr>
      </w:pPr>
      <w:r w:rsidRPr="00960289">
        <w:rPr>
          <w:rFonts w:cs="Arial"/>
          <w:szCs w:val="22"/>
        </w:rPr>
        <w:t>The quorum for a meeting shall be 3 members on each side.</w:t>
      </w:r>
    </w:p>
    <w:p w14:paraId="7FF5B74F" w14:textId="77777777" w:rsidR="00960289" w:rsidRPr="00960289" w:rsidRDefault="00960289" w:rsidP="00960289">
      <w:pPr>
        <w:pStyle w:val="ListParagraph"/>
        <w:spacing w:before="120" w:after="120"/>
        <w:ind w:left="710"/>
        <w:contextualSpacing w:val="0"/>
        <w:rPr>
          <w:rFonts w:cs="Arial"/>
          <w:szCs w:val="22"/>
        </w:rPr>
      </w:pPr>
    </w:p>
    <w:p w14:paraId="1FAB3EBE" w14:textId="77777777" w:rsidR="00B869AA" w:rsidRPr="00960289" w:rsidRDefault="00B869AA" w:rsidP="00960289">
      <w:pPr>
        <w:pStyle w:val="ListParagraph"/>
        <w:numPr>
          <w:ilvl w:val="0"/>
          <w:numId w:val="29"/>
        </w:numPr>
        <w:spacing w:before="120" w:after="120"/>
        <w:contextualSpacing w:val="0"/>
        <w:rPr>
          <w:rFonts w:cs="Arial"/>
          <w:szCs w:val="22"/>
        </w:rPr>
      </w:pPr>
      <w:r w:rsidRPr="00960289">
        <w:rPr>
          <w:rFonts w:cs="Arial"/>
          <w:b/>
          <w:szCs w:val="22"/>
        </w:rPr>
        <w:t>Roles and Responsibilities (not delegated unless otherwise stated)</w:t>
      </w:r>
    </w:p>
    <w:p w14:paraId="0792BC65" w14:textId="77777777" w:rsidR="00B869AA" w:rsidRPr="00960289" w:rsidRDefault="00B869AA" w:rsidP="00960289">
      <w:pPr>
        <w:pStyle w:val="ListParagraph"/>
        <w:numPr>
          <w:ilvl w:val="1"/>
          <w:numId w:val="29"/>
        </w:numPr>
        <w:spacing w:before="120" w:after="120"/>
        <w:ind w:left="709" w:firstLine="1"/>
        <w:contextualSpacing w:val="0"/>
        <w:rPr>
          <w:rFonts w:cs="Arial"/>
          <w:szCs w:val="22"/>
        </w:rPr>
      </w:pPr>
      <w:r w:rsidRPr="00960289">
        <w:rPr>
          <w:rFonts w:cs="Arial"/>
          <w:szCs w:val="22"/>
        </w:rPr>
        <w:t>The Committee shall appoint a chairman and vice chairman annually. These positions will rotate between the management and JLNC members annually on a financial year basis.</w:t>
      </w:r>
    </w:p>
    <w:p w14:paraId="230C453E" w14:textId="3A2702B3" w:rsidR="00B869AA" w:rsidRDefault="00B869AA" w:rsidP="00960289">
      <w:pPr>
        <w:numPr>
          <w:ilvl w:val="1"/>
          <w:numId w:val="29"/>
        </w:numPr>
        <w:tabs>
          <w:tab w:val="left" w:pos="-1440"/>
        </w:tabs>
        <w:spacing w:before="120" w:after="120"/>
        <w:ind w:left="709" w:firstLine="1"/>
        <w:jc w:val="left"/>
        <w:rPr>
          <w:rFonts w:cs="Arial"/>
          <w:szCs w:val="22"/>
        </w:rPr>
      </w:pPr>
      <w:r w:rsidRPr="00960289">
        <w:rPr>
          <w:rFonts w:cs="Arial"/>
          <w:szCs w:val="22"/>
        </w:rPr>
        <w:t>The Committee will appoint joint secretaries who will agree agendas (which will be distributed seven days before each meeting) and minutes. The management side secretary will be responsible for administrative arrangements</w:t>
      </w:r>
      <w:r w:rsidR="00960289">
        <w:rPr>
          <w:rFonts w:cs="Arial"/>
          <w:szCs w:val="22"/>
        </w:rPr>
        <w:t>.</w:t>
      </w:r>
    </w:p>
    <w:p w14:paraId="059F5A95" w14:textId="77777777" w:rsidR="00960289" w:rsidRPr="00960289" w:rsidRDefault="00960289" w:rsidP="00960289">
      <w:pPr>
        <w:tabs>
          <w:tab w:val="left" w:pos="-1440"/>
        </w:tabs>
        <w:spacing w:before="120" w:after="120"/>
        <w:jc w:val="left"/>
        <w:rPr>
          <w:rFonts w:cs="Arial"/>
          <w:szCs w:val="22"/>
        </w:rPr>
      </w:pPr>
    </w:p>
    <w:p w14:paraId="28C90F4D" w14:textId="77777777" w:rsidR="00B869AA" w:rsidRPr="00960289" w:rsidRDefault="00B869AA" w:rsidP="00960289">
      <w:pPr>
        <w:pStyle w:val="ListParagraph"/>
        <w:numPr>
          <w:ilvl w:val="0"/>
          <w:numId w:val="29"/>
        </w:numPr>
        <w:spacing w:before="120" w:after="120"/>
        <w:contextualSpacing w:val="0"/>
        <w:rPr>
          <w:rFonts w:cs="Arial"/>
          <w:b/>
          <w:szCs w:val="22"/>
        </w:rPr>
      </w:pPr>
      <w:r w:rsidRPr="00960289">
        <w:rPr>
          <w:rFonts w:cs="Arial"/>
          <w:b/>
          <w:szCs w:val="22"/>
        </w:rPr>
        <w:t xml:space="preserve">Conduct of Business </w:t>
      </w:r>
    </w:p>
    <w:p w14:paraId="445CC428" w14:textId="77777777" w:rsidR="00B869AA" w:rsidRPr="00960289" w:rsidRDefault="00B869AA" w:rsidP="00960289">
      <w:pPr>
        <w:pStyle w:val="ListParagraph"/>
        <w:numPr>
          <w:ilvl w:val="1"/>
          <w:numId w:val="29"/>
        </w:numPr>
        <w:spacing w:before="120" w:after="120"/>
        <w:ind w:left="709" w:firstLine="1"/>
        <w:contextualSpacing w:val="0"/>
        <w:rPr>
          <w:rFonts w:cs="Arial"/>
          <w:szCs w:val="22"/>
        </w:rPr>
      </w:pPr>
      <w:r w:rsidRPr="00960289">
        <w:rPr>
          <w:rFonts w:cs="Arial"/>
          <w:szCs w:val="22"/>
        </w:rPr>
        <w:t>Administration The Trust</w:t>
      </w:r>
      <w:r w:rsidRPr="00960289">
        <w:rPr>
          <w:rFonts w:cs="Arial"/>
          <w:b/>
          <w:i/>
          <w:szCs w:val="22"/>
        </w:rPr>
        <w:t xml:space="preserve"> </w:t>
      </w:r>
      <w:r w:rsidRPr="00960289">
        <w:rPr>
          <w:rFonts w:cs="Arial"/>
          <w:szCs w:val="22"/>
        </w:rPr>
        <w:t xml:space="preserve">shall provide accommodation for meetings </w:t>
      </w:r>
      <w:proofErr w:type="gramStart"/>
      <w:r w:rsidRPr="00960289">
        <w:rPr>
          <w:rFonts w:cs="Arial"/>
          <w:szCs w:val="22"/>
        </w:rPr>
        <w:t>and also</w:t>
      </w:r>
      <w:proofErr w:type="gramEnd"/>
      <w:r w:rsidRPr="00960289">
        <w:rPr>
          <w:rFonts w:cs="Arial"/>
          <w:szCs w:val="22"/>
        </w:rPr>
        <w:t xml:space="preserve"> the cost of the secretarial and administrative support will be borne by the Trust.</w:t>
      </w:r>
    </w:p>
    <w:p w14:paraId="35DDFB70" w14:textId="77777777" w:rsidR="00B869AA" w:rsidRPr="00960289" w:rsidRDefault="00B869AA" w:rsidP="00960289">
      <w:pPr>
        <w:pStyle w:val="ListParagraph"/>
        <w:numPr>
          <w:ilvl w:val="1"/>
          <w:numId w:val="29"/>
        </w:numPr>
        <w:tabs>
          <w:tab w:val="left" w:pos="-1440"/>
        </w:tabs>
        <w:spacing w:before="120" w:after="120"/>
        <w:ind w:left="709" w:firstLine="11"/>
        <w:contextualSpacing w:val="0"/>
        <w:rPr>
          <w:rFonts w:cs="Arial"/>
          <w:szCs w:val="22"/>
        </w:rPr>
      </w:pPr>
      <w:r w:rsidRPr="00960289">
        <w:rPr>
          <w:rFonts w:cs="Arial"/>
          <w:iCs/>
          <w:szCs w:val="22"/>
        </w:rPr>
        <w:t xml:space="preserve">Frequency </w:t>
      </w:r>
      <w:r w:rsidRPr="00960289">
        <w:rPr>
          <w:rFonts w:cs="Arial"/>
          <w:szCs w:val="22"/>
        </w:rPr>
        <w:t xml:space="preserve">The Committee shall normally meet tri-monthly and written notice of the date, venue and agenda shall be circulated in advance. Dates for meetings in the following calendar year will be determined at the last scheduled meeting in each calendar year.  A special meeting of the Committee must be called at the written request of three members. </w:t>
      </w:r>
    </w:p>
    <w:p w14:paraId="2003C76A" w14:textId="77777777" w:rsidR="00B869AA" w:rsidRPr="00960289" w:rsidRDefault="00B869AA" w:rsidP="00960289">
      <w:pPr>
        <w:pStyle w:val="ListParagraph"/>
        <w:numPr>
          <w:ilvl w:val="1"/>
          <w:numId w:val="29"/>
        </w:numPr>
        <w:spacing w:before="120" w:after="120"/>
        <w:ind w:left="709" w:firstLine="1"/>
        <w:contextualSpacing w:val="0"/>
        <w:rPr>
          <w:rFonts w:cs="Arial"/>
          <w:szCs w:val="22"/>
        </w:rPr>
      </w:pPr>
      <w:r w:rsidRPr="00960289">
        <w:rPr>
          <w:rFonts w:cs="Arial"/>
          <w:iCs/>
          <w:szCs w:val="22"/>
        </w:rPr>
        <w:t xml:space="preserve">Notice of meetings </w:t>
      </w:r>
      <w:r w:rsidRPr="00960289">
        <w:rPr>
          <w:rFonts w:cs="Arial"/>
          <w:szCs w:val="22"/>
        </w:rPr>
        <w:t>At least five days' notice in writing shall be given of meetings and agenda items. For this purpose, notice shall be given to the Joint Secretaries as soon as possible of any matter intended to be raised at this meeting.</w:t>
      </w:r>
    </w:p>
    <w:p w14:paraId="4C05EB2C" w14:textId="77777777" w:rsidR="00B869AA" w:rsidRPr="00960289" w:rsidRDefault="00B869AA" w:rsidP="00960289">
      <w:pPr>
        <w:pStyle w:val="ListParagraph"/>
        <w:numPr>
          <w:ilvl w:val="1"/>
          <w:numId w:val="29"/>
        </w:numPr>
        <w:tabs>
          <w:tab w:val="left" w:pos="-1440"/>
        </w:tabs>
        <w:spacing w:before="120" w:after="120"/>
        <w:ind w:left="709" w:firstLine="11"/>
        <w:contextualSpacing w:val="0"/>
        <w:rPr>
          <w:rFonts w:cs="Arial"/>
          <w:szCs w:val="22"/>
        </w:rPr>
      </w:pPr>
      <w:r w:rsidRPr="00960289">
        <w:rPr>
          <w:rFonts w:cs="Arial"/>
          <w:szCs w:val="22"/>
        </w:rPr>
        <w:t>Decisions The Committee shall decide all matters through agreement between the sides, each side coming to its own position in its own manner.  Where this is not possible, failure to agree will be recorded</w:t>
      </w:r>
    </w:p>
    <w:p w14:paraId="1A1BE3A2" w14:textId="77777777" w:rsidR="00B869AA" w:rsidRPr="00960289" w:rsidRDefault="00B869AA" w:rsidP="00960289">
      <w:pPr>
        <w:pStyle w:val="ListParagraph"/>
        <w:numPr>
          <w:ilvl w:val="1"/>
          <w:numId w:val="29"/>
        </w:numPr>
        <w:spacing w:before="120" w:after="120"/>
        <w:ind w:left="709" w:firstLine="1"/>
        <w:contextualSpacing w:val="0"/>
        <w:rPr>
          <w:rFonts w:cs="Arial"/>
          <w:szCs w:val="22"/>
        </w:rPr>
      </w:pPr>
      <w:r w:rsidRPr="00960289">
        <w:rPr>
          <w:rFonts w:cs="Arial"/>
          <w:szCs w:val="22"/>
        </w:rPr>
        <w:t xml:space="preserve">Reporting The draft minutes of the previous meeting will be circulated to the Joint Secretaries to agree the content. The agreed draft minutes will then be sent by the Trust Secretary to all members of the </w:t>
      </w:r>
      <w:smartTag w:uri="urn:schemas-microsoft-com:office:smarttags" w:element="stockticker">
        <w:r w:rsidRPr="00960289">
          <w:rPr>
            <w:rFonts w:cs="Arial"/>
            <w:szCs w:val="22"/>
          </w:rPr>
          <w:t>JCC</w:t>
        </w:r>
      </w:smartTag>
      <w:r w:rsidRPr="00960289">
        <w:rPr>
          <w:rFonts w:cs="Arial"/>
          <w:szCs w:val="22"/>
        </w:rPr>
        <w:t xml:space="preserve"> at least ten working days prior to the succeeding meeting. Minutes of meetings shall also be sent to ex-officio members.  </w:t>
      </w:r>
    </w:p>
    <w:p w14:paraId="3AF87FDD" w14:textId="77777777" w:rsidR="00B869AA" w:rsidRPr="00960289" w:rsidRDefault="00B869AA" w:rsidP="00960289">
      <w:pPr>
        <w:pStyle w:val="ListParagraph"/>
        <w:numPr>
          <w:ilvl w:val="0"/>
          <w:numId w:val="29"/>
        </w:numPr>
        <w:spacing w:before="120" w:after="120"/>
        <w:rPr>
          <w:rFonts w:cs="Arial"/>
          <w:b/>
          <w:szCs w:val="22"/>
        </w:rPr>
      </w:pPr>
      <w:r w:rsidRPr="00960289">
        <w:rPr>
          <w:rFonts w:cs="Arial"/>
          <w:b/>
          <w:szCs w:val="22"/>
        </w:rPr>
        <w:t xml:space="preserve">Review </w:t>
      </w:r>
    </w:p>
    <w:p w14:paraId="6A4E1C19" w14:textId="77777777" w:rsidR="00B869AA" w:rsidRPr="00960289" w:rsidRDefault="00B869AA" w:rsidP="00960289">
      <w:pPr>
        <w:pStyle w:val="ListParagraph"/>
        <w:spacing w:before="120" w:after="120"/>
        <w:ind w:left="360"/>
        <w:rPr>
          <w:rFonts w:cs="Arial"/>
          <w:b/>
          <w:szCs w:val="22"/>
        </w:rPr>
      </w:pPr>
    </w:p>
    <w:p w14:paraId="5198CA9D" w14:textId="77777777" w:rsidR="00B869AA" w:rsidRPr="00960289" w:rsidRDefault="00B869AA" w:rsidP="00960289">
      <w:pPr>
        <w:pStyle w:val="ListParagraph"/>
        <w:numPr>
          <w:ilvl w:val="1"/>
          <w:numId w:val="29"/>
        </w:numPr>
        <w:spacing w:before="120" w:after="120"/>
        <w:ind w:left="709" w:firstLine="0"/>
        <w:rPr>
          <w:rFonts w:cs="Arial"/>
          <w:szCs w:val="22"/>
        </w:rPr>
      </w:pPr>
      <w:r w:rsidRPr="00960289">
        <w:rPr>
          <w:rFonts w:cs="Arial"/>
          <w:szCs w:val="22"/>
        </w:rPr>
        <w:t>Changes to the constitution may only be made by agreement of the committee. A review of the constitution will occur two years after the date of first agreement.</w:t>
      </w:r>
    </w:p>
    <w:p w14:paraId="6DA1D993" w14:textId="77777777" w:rsidR="00B869AA" w:rsidRPr="00960289" w:rsidRDefault="00B869AA" w:rsidP="00960289">
      <w:pPr>
        <w:pStyle w:val="ListParagraph"/>
        <w:spacing w:before="120" w:after="120"/>
        <w:ind w:left="709"/>
        <w:rPr>
          <w:rFonts w:cs="Arial"/>
          <w:szCs w:val="22"/>
        </w:rPr>
      </w:pPr>
    </w:p>
    <w:p w14:paraId="7524D5DC" w14:textId="77777777" w:rsidR="00B869AA" w:rsidRPr="00960289" w:rsidRDefault="00B869AA" w:rsidP="00960289">
      <w:pPr>
        <w:pStyle w:val="ListParagraph"/>
        <w:numPr>
          <w:ilvl w:val="1"/>
          <w:numId w:val="29"/>
        </w:numPr>
        <w:spacing w:before="120" w:after="120"/>
        <w:ind w:left="709" w:firstLine="0"/>
        <w:rPr>
          <w:rFonts w:cs="Arial"/>
          <w:szCs w:val="22"/>
        </w:rPr>
      </w:pPr>
      <w:r w:rsidRPr="00960289">
        <w:rPr>
          <w:rFonts w:cs="Arial"/>
          <w:szCs w:val="22"/>
        </w:rPr>
        <w:t xml:space="preserve">The JCC shall conduct an annual self-assessment on the performance of its duties as reflected within its Terms of Reference. </w:t>
      </w:r>
    </w:p>
    <w:p w14:paraId="212D43B2" w14:textId="77777777" w:rsidR="00B869AA" w:rsidRPr="00960289" w:rsidRDefault="00B869AA" w:rsidP="00960289">
      <w:pPr>
        <w:pStyle w:val="ListParagraph"/>
        <w:spacing w:before="120" w:after="120"/>
        <w:ind w:left="709"/>
        <w:rPr>
          <w:rFonts w:cs="Arial"/>
          <w:szCs w:val="22"/>
        </w:rPr>
      </w:pPr>
    </w:p>
    <w:p w14:paraId="608AD75B" w14:textId="77777777" w:rsidR="00B869AA" w:rsidRPr="00960289" w:rsidRDefault="00B869AA" w:rsidP="00960289">
      <w:pPr>
        <w:pStyle w:val="ListParagraph"/>
        <w:numPr>
          <w:ilvl w:val="1"/>
          <w:numId w:val="29"/>
        </w:numPr>
        <w:spacing w:before="120" w:after="120"/>
        <w:ind w:left="709" w:firstLine="0"/>
        <w:rPr>
          <w:rFonts w:cs="Arial"/>
          <w:szCs w:val="22"/>
        </w:rPr>
      </w:pPr>
      <w:r w:rsidRPr="00960289">
        <w:rPr>
          <w:rFonts w:cs="Arial"/>
          <w:szCs w:val="22"/>
        </w:rPr>
        <w:t xml:space="preserve">As part of this assessment, the Committee shall consider </w:t>
      </w:r>
      <w:proofErr w:type="gramStart"/>
      <w:r w:rsidRPr="00960289">
        <w:rPr>
          <w:rFonts w:cs="Arial"/>
          <w:szCs w:val="22"/>
        </w:rPr>
        <w:t>whether or not</w:t>
      </w:r>
      <w:proofErr w:type="gramEnd"/>
      <w:r w:rsidRPr="00960289">
        <w:rPr>
          <w:rFonts w:cs="Arial"/>
          <w:szCs w:val="22"/>
        </w:rPr>
        <w:t xml:space="preserve"> it receives adequate and appropriate support in fulfilment of its role and whether or not its current workload is manageable.</w:t>
      </w:r>
    </w:p>
    <w:p w14:paraId="37910F8B" w14:textId="77777777" w:rsidR="005B5578" w:rsidRPr="00960289" w:rsidRDefault="005B5578" w:rsidP="00960289">
      <w:pPr>
        <w:spacing w:before="120" w:after="120"/>
        <w:jc w:val="left"/>
        <w:rPr>
          <w:rFonts w:cs="Arial"/>
          <w:szCs w:val="22"/>
        </w:rPr>
      </w:pPr>
    </w:p>
    <w:sectPr w:rsidR="005B5578" w:rsidRPr="00960289" w:rsidSect="00F427E8">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8D96" w14:textId="77777777" w:rsidR="00600C1D" w:rsidRDefault="00600C1D" w:rsidP="001F1224">
      <w:pPr>
        <w:spacing w:before="0" w:after="0"/>
      </w:pPr>
      <w:r>
        <w:separator/>
      </w:r>
    </w:p>
  </w:endnote>
  <w:endnote w:type="continuationSeparator" w:id="0">
    <w:p w14:paraId="493D6841" w14:textId="77777777" w:rsidR="00600C1D" w:rsidRDefault="00600C1D" w:rsidP="001F1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B0E7" w14:textId="6F8B5937" w:rsidR="00A64363" w:rsidRDefault="00A64363" w:rsidP="00F427E8">
    <w:pPr>
      <w:tabs>
        <w:tab w:val="center" w:pos="4153"/>
        <w:tab w:val="right" w:pos="8910"/>
      </w:tabs>
      <w:spacing w:before="0" w:after="0"/>
      <w:jc w:val="left"/>
      <w:rPr>
        <w:rFonts w:ascii="Verdana" w:hAnsi="Verdana"/>
        <w:caps/>
        <w:sz w:val="14"/>
        <w:szCs w:val="16"/>
      </w:rPr>
    </w:pPr>
  </w:p>
  <w:p w14:paraId="6C91AD69" w14:textId="0B7FF9DB" w:rsidR="00A64363" w:rsidRDefault="00A64363" w:rsidP="00F427E8">
    <w:pPr>
      <w:tabs>
        <w:tab w:val="center" w:pos="4153"/>
        <w:tab w:val="right" w:pos="8910"/>
      </w:tabs>
      <w:spacing w:before="0" w:after="0"/>
      <w:jc w:val="left"/>
      <w:rPr>
        <w:rFonts w:ascii="Verdana" w:hAnsi="Verdana"/>
        <w:caps/>
        <w:sz w:val="14"/>
        <w:szCs w:val="16"/>
      </w:rPr>
    </w:pPr>
  </w:p>
  <w:p w14:paraId="11848305" w14:textId="0A252AAD" w:rsidR="00A64363" w:rsidRDefault="007F0BC6" w:rsidP="00F427E8">
    <w:pPr>
      <w:tabs>
        <w:tab w:val="center" w:pos="4153"/>
        <w:tab w:val="right" w:pos="8910"/>
      </w:tabs>
      <w:spacing w:before="0" w:after="0"/>
      <w:jc w:val="left"/>
      <w:rPr>
        <w:rFonts w:ascii="Verdana" w:hAnsi="Verdana"/>
        <w:caps/>
        <w:sz w:val="14"/>
        <w:szCs w:val="16"/>
      </w:rPr>
    </w:pPr>
    <w:r>
      <w:rPr>
        <w:rFonts w:ascii="Verdana" w:hAnsi="Verdana"/>
        <w:caps/>
        <w:sz w:val="14"/>
        <w:szCs w:val="16"/>
      </w:rPr>
      <w:t xml:space="preserve">Page </w:t>
    </w:r>
    <w:r w:rsidRPr="00A64363">
      <w:rPr>
        <w:rFonts w:ascii="Verdana" w:hAnsi="Verdana"/>
        <w:caps/>
        <w:sz w:val="14"/>
        <w:szCs w:val="16"/>
      </w:rPr>
      <w:fldChar w:fldCharType="begin"/>
    </w:r>
    <w:r w:rsidRPr="00A64363">
      <w:rPr>
        <w:rFonts w:ascii="Verdana" w:hAnsi="Verdana"/>
        <w:caps/>
        <w:sz w:val="14"/>
        <w:szCs w:val="16"/>
      </w:rPr>
      <w:instrText>PAGE   \* MERGEFORMAT</w:instrText>
    </w:r>
    <w:r w:rsidRPr="00A64363">
      <w:rPr>
        <w:rFonts w:ascii="Verdana" w:hAnsi="Verdana"/>
        <w:caps/>
        <w:sz w:val="14"/>
        <w:szCs w:val="16"/>
      </w:rPr>
      <w:fldChar w:fldCharType="separate"/>
    </w:r>
    <w:r>
      <w:rPr>
        <w:rFonts w:ascii="Verdana" w:hAnsi="Verdana"/>
        <w:caps/>
        <w:sz w:val="14"/>
        <w:szCs w:val="16"/>
      </w:rPr>
      <w:t>1</w:t>
    </w:r>
    <w:r w:rsidRPr="00A64363">
      <w:rPr>
        <w:rFonts w:ascii="Verdana" w:hAnsi="Verdana"/>
        <w:caps/>
        <w:sz w:val="14"/>
        <w:szCs w:val="16"/>
      </w:rPr>
      <w:fldChar w:fldCharType="end"/>
    </w:r>
  </w:p>
  <w:p w14:paraId="34A71A3B" w14:textId="7959EEA5" w:rsidR="00F427E8" w:rsidRPr="00C30808" w:rsidRDefault="007F0BC6" w:rsidP="00F427E8">
    <w:pPr>
      <w:tabs>
        <w:tab w:val="center" w:pos="4153"/>
        <w:tab w:val="right" w:pos="8910"/>
      </w:tabs>
      <w:spacing w:before="0" w:after="0"/>
      <w:jc w:val="left"/>
      <w:rPr>
        <w:rFonts w:ascii="Verdana" w:hAnsi="Verdana"/>
        <w:caps/>
        <w:sz w:val="14"/>
        <w:szCs w:val="16"/>
      </w:rPr>
    </w:pPr>
    <w:r>
      <w:rPr>
        <w:rFonts w:ascii="Verdana" w:hAnsi="Verdana"/>
        <w:caps/>
        <w:sz w:val="14"/>
        <w:szCs w:val="16"/>
      </w:rPr>
      <w:fldChar w:fldCharType="begin"/>
    </w:r>
    <w:r>
      <w:rPr>
        <w:rFonts w:ascii="Verdana" w:hAnsi="Verdana"/>
        <w:caps/>
        <w:sz w:val="14"/>
        <w:szCs w:val="16"/>
      </w:rPr>
      <w:instrText xml:space="preserve"> FILENAME  \* Upper  \* MERGEFORMAT </w:instrText>
    </w:r>
    <w:r>
      <w:rPr>
        <w:rFonts w:ascii="Verdana" w:hAnsi="Verdana"/>
        <w:caps/>
        <w:sz w:val="14"/>
        <w:szCs w:val="16"/>
      </w:rPr>
      <w:fldChar w:fldCharType="separate"/>
    </w:r>
    <w:r>
      <w:rPr>
        <w:rFonts w:ascii="Verdana" w:hAnsi="Verdana"/>
        <w:noProof/>
        <w:sz w:val="14"/>
        <w:szCs w:val="16"/>
      </w:rPr>
      <w:t>APPENDIX C - TERMS OF REFERENCE JOINT LOCAL NEGOTIATING COMMITTEE</w:t>
    </w:r>
    <w:r>
      <w:rPr>
        <w:rFonts w:ascii="Verdana" w:hAnsi="Verdana"/>
        <w:caps/>
        <w:sz w:val="14"/>
        <w:szCs w:val="16"/>
      </w:rPr>
      <w:fldChar w:fldCharType="end"/>
    </w:r>
    <w:r w:rsidR="00F427E8" w:rsidRPr="00C30808">
      <w:rPr>
        <w:rFonts w:ascii="Verdana" w:hAnsi="Verdana"/>
        <w:caps/>
        <w:sz w:val="14"/>
        <w:szCs w:val="16"/>
      </w:rPr>
      <w:tab/>
    </w:r>
    <w:r w:rsidR="00F427E8">
      <w:rPr>
        <w:rFonts w:ascii="Verdana" w:hAnsi="Verdana"/>
        <w:caps/>
        <w:sz w:val="14"/>
        <w:szCs w:val="16"/>
      </w:rPr>
      <w:t xml:space="preserve">Version: </w:t>
    </w:r>
    <w:r w:rsidR="00F15752">
      <w:rPr>
        <w:rFonts w:ascii="Verdana" w:hAnsi="Verdana"/>
        <w:caps/>
        <w:sz w:val="14"/>
        <w:szCs w:val="16"/>
      </w:rPr>
      <w:t>7</w:t>
    </w:r>
  </w:p>
  <w:p w14:paraId="09A61531" w14:textId="0AE50547" w:rsidR="00F427E8" w:rsidRPr="00C30808" w:rsidRDefault="00F427E8" w:rsidP="00F427E8">
    <w:pPr>
      <w:tabs>
        <w:tab w:val="center" w:pos="4153"/>
        <w:tab w:val="right" w:pos="8910"/>
      </w:tabs>
      <w:spacing w:before="0" w:after="0"/>
      <w:jc w:val="left"/>
      <w:rPr>
        <w:rFonts w:ascii="Verdana" w:hAnsi="Verdana"/>
        <w:caps/>
        <w:sz w:val="14"/>
        <w:szCs w:val="16"/>
      </w:rPr>
    </w:pPr>
    <w:r w:rsidRPr="00C30808">
      <w:rPr>
        <w:rFonts w:ascii="Verdana" w:hAnsi="Verdana"/>
        <w:caps/>
        <w:sz w:val="14"/>
        <w:szCs w:val="16"/>
      </w:rPr>
      <w:t>a</w:t>
    </w:r>
    <w:r>
      <w:rPr>
        <w:rFonts w:ascii="Verdana" w:hAnsi="Verdana"/>
        <w:caps/>
        <w:sz w:val="14"/>
        <w:szCs w:val="16"/>
      </w:rPr>
      <w:t xml:space="preserve">uthor: </w:t>
    </w:r>
    <w:r w:rsidR="00F15752">
      <w:rPr>
        <w:rFonts w:ascii="Verdana" w:hAnsi="Verdana"/>
        <w:caps/>
        <w:sz w:val="14"/>
        <w:szCs w:val="16"/>
      </w:rPr>
      <w:t>DCPO</w:t>
    </w:r>
    <w:r>
      <w:rPr>
        <w:rFonts w:ascii="Verdana" w:hAnsi="Verdana"/>
        <w:caps/>
        <w:sz w:val="14"/>
        <w:szCs w:val="16"/>
      </w:rPr>
      <w:tab/>
    </w:r>
    <w:r>
      <w:rPr>
        <w:rFonts w:ascii="Verdana" w:hAnsi="Verdana"/>
        <w:caps/>
        <w:sz w:val="14"/>
        <w:szCs w:val="16"/>
      </w:rPr>
      <w:tab/>
    </w:r>
    <w:r w:rsidR="00F15752">
      <w:rPr>
        <w:rFonts w:ascii="Verdana" w:hAnsi="Verdana"/>
        <w:caps/>
        <w:sz w:val="14"/>
        <w:szCs w:val="16"/>
      </w:rPr>
      <w:t>Dec 2022</w:t>
    </w:r>
  </w:p>
  <w:p w14:paraId="218426B0" w14:textId="2E3233B8" w:rsidR="00A64363" w:rsidRPr="00C30808" w:rsidRDefault="00F427E8" w:rsidP="00F427E8">
    <w:pPr>
      <w:tabs>
        <w:tab w:val="center" w:pos="4153"/>
        <w:tab w:val="right" w:pos="8910"/>
      </w:tabs>
      <w:spacing w:before="0" w:after="0"/>
      <w:jc w:val="left"/>
      <w:rPr>
        <w:rFonts w:ascii="Verdana" w:hAnsi="Verdana"/>
        <w:caps/>
        <w:sz w:val="14"/>
        <w:szCs w:val="16"/>
      </w:rPr>
    </w:pPr>
    <w:r w:rsidRPr="00C30808">
      <w:rPr>
        <w:rFonts w:ascii="Verdana" w:hAnsi="Verdana"/>
        <w:caps/>
        <w:sz w:val="14"/>
        <w:szCs w:val="16"/>
      </w:rPr>
      <w:tab/>
    </w:r>
    <w:r w:rsidRPr="00C30808">
      <w:rPr>
        <w:rFonts w:ascii="Verdana" w:hAnsi="Verdana"/>
        <w:caps/>
        <w:sz w:val="14"/>
        <w:szCs w:val="16"/>
      </w:rPr>
      <w:tab/>
      <w:t>date of next review</w:t>
    </w:r>
    <w:r w:rsidR="00F15752">
      <w:rPr>
        <w:rFonts w:ascii="Verdana" w:hAnsi="Verdana"/>
        <w:caps/>
        <w:sz w:val="14"/>
        <w:szCs w:val="16"/>
      </w:rPr>
      <w:t xml:space="preserve"> Dec</w:t>
    </w:r>
    <w:r w:rsidRPr="00C30808">
      <w:rPr>
        <w:rFonts w:ascii="Verdana" w:hAnsi="Verdana"/>
        <w:caps/>
        <w:sz w:val="14"/>
        <w:szCs w:val="16"/>
      </w:rPr>
      <w:t xml:space="preserve"> 2024</w:t>
    </w:r>
  </w:p>
  <w:p w14:paraId="44D52964" w14:textId="77777777" w:rsidR="00600C1D" w:rsidRPr="00F427E8" w:rsidRDefault="00600C1D" w:rsidP="00F42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20A9" w14:textId="77777777" w:rsidR="00600C1D" w:rsidRDefault="00600C1D" w:rsidP="001F1224">
      <w:pPr>
        <w:spacing w:before="0" w:after="0"/>
      </w:pPr>
      <w:r>
        <w:separator/>
      </w:r>
    </w:p>
  </w:footnote>
  <w:footnote w:type="continuationSeparator" w:id="0">
    <w:p w14:paraId="27397E62" w14:textId="77777777" w:rsidR="00600C1D" w:rsidRDefault="00600C1D" w:rsidP="001F12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E035" w14:textId="0777C0F4" w:rsidR="0062129E" w:rsidRDefault="0062129E" w:rsidP="0062129E">
    <w:pPr>
      <w:pStyle w:val="Header"/>
      <w:tabs>
        <w:tab w:val="clear" w:pos="4513"/>
        <w:tab w:val="clear" w:pos="9026"/>
        <w:tab w:val="right" w:pos="9639"/>
      </w:tabs>
    </w:pPr>
    <w:r>
      <w:tab/>
    </w:r>
    <w:r>
      <w:rPr>
        <w:noProof/>
      </w:rPr>
      <w:drawing>
        <wp:inline distT="0" distB="0" distL="0" distR="0" wp14:anchorId="18320F22" wp14:editId="78ED5D57">
          <wp:extent cx="1040607" cy="730250"/>
          <wp:effectExtent l="0" t="0" r="7620" b="0"/>
          <wp:docPr id="1" name="Picture 1" descr="A picture containing text, font,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wh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3247" cy="746138"/>
                  </a:xfrm>
                  <a:prstGeom prst="rect">
                    <a:avLst/>
                  </a:prstGeom>
                </pic:spPr>
              </pic:pic>
            </a:graphicData>
          </a:graphic>
        </wp:inline>
      </w:drawing>
    </w:r>
  </w:p>
  <w:p w14:paraId="4E0C2155" w14:textId="77777777" w:rsidR="0062129E" w:rsidRDefault="00621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F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12B14"/>
    <w:multiLevelType w:val="hybridMultilevel"/>
    <w:tmpl w:val="33687C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132AE0"/>
    <w:multiLevelType w:val="multilevel"/>
    <w:tmpl w:val="006A209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0020E"/>
    <w:multiLevelType w:val="hybridMultilevel"/>
    <w:tmpl w:val="D4762F50"/>
    <w:lvl w:ilvl="0" w:tplc="C1EE727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073E0EA4"/>
    <w:multiLevelType w:val="multilevel"/>
    <w:tmpl w:val="967A3922"/>
    <w:lvl w:ilvl="0">
      <w:start w:val="1"/>
      <w:numFmt w:val="decimal"/>
      <w:lvlText w:val="%1."/>
      <w:lvlJc w:val="left"/>
      <w:pPr>
        <w:ind w:left="360" w:hanging="360"/>
      </w:pPr>
      <w:rPr>
        <w:rFonts w:ascii="Arial" w:hAnsi="Arial" w:cs="Arial" w:hint="default"/>
        <w:b/>
        <w:color w:val="0070C0"/>
        <w:sz w:val="24"/>
      </w:rPr>
    </w:lvl>
    <w:lvl w:ilvl="1">
      <w:start w:val="1"/>
      <w:numFmt w:val="decimal"/>
      <w:lvlText w:val="%1.%2."/>
      <w:lvlJc w:val="left"/>
      <w:pPr>
        <w:ind w:left="1142" w:hanging="432"/>
      </w:pPr>
      <w:rPr>
        <w:rFonts w:ascii="Arial" w:hAnsi="Arial" w:cs="Arial" w:hint="default"/>
        <w:color w:val="4F81BD" w:themeColor="accent1"/>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155528"/>
    <w:multiLevelType w:val="multilevel"/>
    <w:tmpl w:val="436602B4"/>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A84AA2"/>
    <w:multiLevelType w:val="hybridMultilevel"/>
    <w:tmpl w:val="EDB86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9E139E"/>
    <w:multiLevelType w:val="hybridMultilevel"/>
    <w:tmpl w:val="8DDE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C5F28"/>
    <w:multiLevelType w:val="multilevel"/>
    <w:tmpl w:val="AA843828"/>
    <w:lvl w:ilvl="0">
      <w:start w:val="4"/>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1D157682"/>
    <w:multiLevelType w:val="hybridMultilevel"/>
    <w:tmpl w:val="1466F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184E32"/>
    <w:multiLevelType w:val="hybridMultilevel"/>
    <w:tmpl w:val="4DAAE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85156D"/>
    <w:multiLevelType w:val="hybridMultilevel"/>
    <w:tmpl w:val="E4D69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6E730C"/>
    <w:multiLevelType w:val="multilevel"/>
    <w:tmpl w:val="FE84BA70"/>
    <w:lvl w:ilvl="0">
      <w:start w:val="2"/>
      <w:numFmt w:val="decimal"/>
      <w:lvlText w:val="%1."/>
      <w:lvlJc w:val="left"/>
      <w:pPr>
        <w:tabs>
          <w:tab w:val="num" w:pos="720"/>
        </w:tabs>
        <w:ind w:left="720" w:hanging="720"/>
      </w:pPr>
      <w:rPr>
        <w:b w:val="0"/>
      </w:r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15:restartNumberingAfterBreak="0">
    <w:nsid w:val="27A51961"/>
    <w:multiLevelType w:val="multilevel"/>
    <w:tmpl w:val="967A3922"/>
    <w:lvl w:ilvl="0">
      <w:start w:val="1"/>
      <w:numFmt w:val="decimal"/>
      <w:lvlText w:val="%1."/>
      <w:lvlJc w:val="left"/>
      <w:pPr>
        <w:ind w:left="360" w:hanging="360"/>
      </w:pPr>
      <w:rPr>
        <w:rFonts w:ascii="Arial" w:hAnsi="Arial" w:cs="Arial" w:hint="default"/>
        <w:b/>
        <w:color w:val="0070C0"/>
        <w:sz w:val="24"/>
      </w:rPr>
    </w:lvl>
    <w:lvl w:ilvl="1">
      <w:start w:val="1"/>
      <w:numFmt w:val="decimal"/>
      <w:lvlText w:val="%1.%2."/>
      <w:lvlJc w:val="left"/>
      <w:pPr>
        <w:ind w:left="1142" w:hanging="432"/>
      </w:pPr>
      <w:rPr>
        <w:rFonts w:ascii="Arial" w:hAnsi="Arial" w:cs="Arial" w:hint="default"/>
        <w:color w:val="4F81BD" w:themeColor="accent1"/>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144257"/>
    <w:multiLevelType w:val="hybridMultilevel"/>
    <w:tmpl w:val="83722FD8"/>
    <w:lvl w:ilvl="0" w:tplc="1DFCCB6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014A0B"/>
    <w:multiLevelType w:val="hybridMultilevel"/>
    <w:tmpl w:val="A7086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6C0B36"/>
    <w:multiLevelType w:val="hybridMultilevel"/>
    <w:tmpl w:val="8EB64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94180F"/>
    <w:multiLevelType w:val="hybridMultilevel"/>
    <w:tmpl w:val="5638F838"/>
    <w:lvl w:ilvl="0" w:tplc="1DFCCB6A">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1C1A20"/>
    <w:multiLevelType w:val="multilevel"/>
    <w:tmpl w:val="967A3922"/>
    <w:lvl w:ilvl="0">
      <w:start w:val="1"/>
      <w:numFmt w:val="decimal"/>
      <w:lvlText w:val="%1."/>
      <w:lvlJc w:val="left"/>
      <w:pPr>
        <w:ind w:left="360" w:hanging="360"/>
      </w:pPr>
      <w:rPr>
        <w:rFonts w:ascii="Arial" w:hAnsi="Arial" w:cs="Arial" w:hint="default"/>
        <w:b/>
        <w:color w:val="0070C0"/>
        <w:sz w:val="24"/>
      </w:rPr>
    </w:lvl>
    <w:lvl w:ilvl="1">
      <w:start w:val="1"/>
      <w:numFmt w:val="decimal"/>
      <w:lvlText w:val="%1.%2."/>
      <w:lvlJc w:val="left"/>
      <w:pPr>
        <w:ind w:left="1142" w:hanging="432"/>
      </w:pPr>
      <w:rPr>
        <w:rFonts w:ascii="Arial" w:hAnsi="Arial" w:cs="Arial" w:hint="default"/>
        <w:color w:val="4F81BD" w:themeColor="accent1"/>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9C7B69"/>
    <w:multiLevelType w:val="hybridMultilevel"/>
    <w:tmpl w:val="A0CC375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553C1B01"/>
    <w:multiLevelType w:val="multilevel"/>
    <w:tmpl w:val="CB589ADA"/>
    <w:lvl w:ilvl="0">
      <w:start w:val="6"/>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95720C5"/>
    <w:multiLevelType w:val="multilevel"/>
    <w:tmpl w:val="97C85D56"/>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60B428BF"/>
    <w:multiLevelType w:val="hybridMultilevel"/>
    <w:tmpl w:val="E1BA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BA0B66"/>
    <w:multiLevelType w:val="hybridMultilevel"/>
    <w:tmpl w:val="5D747E26"/>
    <w:lvl w:ilvl="0" w:tplc="FC2A8D72">
      <w:start w:val="1"/>
      <w:numFmt w:val="decimal"/>
      <w:pStyle w:val="Style1"/>
      <w:lvlText w:val="%1."/>
      <w:lvlJc w:val="left"/>
      <w:pPr>
        <w:ind w:left="-147"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6D2F6B96"/>
    <w:multiLevelType w:val="multilevel"/>
    <w:tmpl w:val="36361018"/>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065229B"/>
    <w:multiLevelType w:val="multilevel"/>
    <w:tmpl w:val="B412B9DC"/>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3"/>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15:restartNumberingAfterBreak="0">
    <w:nsid w:val="75215729"/>
    <w:multiLevelType w:val="hybridMultilevel"/>
    <w:tmpl w:val="EC225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254FE6"/>
    <w:multiLevelType w:val="hybridMultilevel"/>
    <w:tmpl w:val="7B26059A"/>
    <w:lvl w:ilvl="0" w:tplc="08090001">
      <w:start w:val="1"/>
      <w:numFmt w:val="bullet"/>
      <w:lvlText w:val=""/>
      <w:lvlJc w:val="left"/>
      <w:pPr>
        <w:ind w:left="720" w:hanging="360"/>
      </w:pPr>
      <w:rPr>
        <w:rFonts w:ascii="Symbol" w:hAnsi="Symbol" w:hint="default"/>
      </w:rPr>
    </w:lvl>
    <w:lvl w:ilvl="1" w:tplc="D06EAB3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4404A"/>
    <w:multiLevelType w:val="multilevel"/>
    <w:tmpl w:val="29805FD2"/>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77391122">
    <w:abstractNumId w:val="3"/>
  </w:num>
  <w:num w:numId="2" w16cid:durableId="179705965">
    <w:abstractNumId w:val="23"/>
  </w:num>
  <w:num w:numId="3" w16cid:durableId="1561281043">
    <w:abstractNumId w:val="1"/>
  </w:num>
  <w:num w:numId="4" w16cid:durableId="1856339503">
    <w:abstractNumId w:val="19"/>
  </w:num>
  <w:num w:numId="5" w16cid:durableId="309793457">
    <w:abstractNumId w:val="9"/>
  </w:num>
  <w:num w:numId="6" w16cid:durableId="1258516708">
    <w:abstractNumId w:val="22"/>
  </w:num>
  <w:num w:numId="7" w16cid:durableId="1617641923">
    <w:abstractNumId w:val="15"/>
  </w:num>
  <w:num w:numId="8" w16cid:durableId="1866166254">
    <w:abstractNumId w:val="6"/>
  </w:num>
  <w:num w:numId="9" w16cid:durableId="1894190178">
    <w:abstractNumId w:val="2"/>
  </w:num>
  <w:num w:numId="10" w16cid:durableId="1987583163">
    <w:abstractNumId w:val="28"/>
  </w:num>
  <w:num w:numId="11" w16cid:durableId="212741082">
    <w:abstractNumId w:val="5"/>
  </w:num>
  <w:num w:numId="12" w16cid:durableId="1217550467">
    <w:abstractNumId w:val="20"/>
  </w:num>
  <w:num w:numId="13" w16cid:durableId="506135273">
    <w:abstractNumId w:val="24"/>
  </w:num>
  <w:num w:numId="14" w16cid:durableId="1633095441">
    <w:abstractNumId w:val="10"/>
  </w:num>
  <w:num w:numId="15" w16cid:durableId="813720370">
    <w:abstractNumId w:val="0"/>
  </w:num>
  <w:num w:numId="16" w16cid:durableId="12644127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370077">
    <w:abstractNumId w:val="2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736794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025939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8197656">
    <w:abstractNumId w:val="11"/>
  </w:num>
  <w:num w:numId="21" w16cid:durableId="2003580283">
    <w:abstractNumId w:val="14"/>
  </w:num>
  <w:num w:numId="22" w16cid:durableId="2047097044">
    <w:abstractNumId w:val="17"/>
  </w:num>
  <w:num w:numId="23" w16cid:durableId="1949005525">
    <w:abstractNumId w:val="16"/>
  </w:num>
  <w:num w:numId="24" w16cid:durableId="1704474180">
    <w:abstractNumId w:val="7"/>
  </w:num>
  <w:num w:numId="25" w16cid:durableId="1971934862">
    <w:abstractNumId w:val="26"/>
  </w:num>
  <w:num w:numId="26" w16cid:durableId="112747617">
    <w:abstractNumId w:val="27"/>
  </w:num>
  <w:num w:numId="27" w16cid:durableId="1512795500">
    <w:abstractNumId w:val="18"/>
  </w:num>
  <w:num w:numId="28" w16cid:durableId="1873421712">
    <w:abstractNumId w:val="13"/>
  </w:num>
  <w:num w:numId="29" w16cid:durableId="166755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24"/>
    <w:rsid w:val="00107AB3"/>
    <w:rsid w:val="00130E26"/>
    <w:rsid w:val="001572E8"/>
    <w:rsid w:val="001B5EA9"/>
    <w:rsid w:val="001C55AB"/>
    <w:rsid w:val="001F1224"/>
    <w:rsid w:val="00244AA9"/>
    <w:rsid w:val="00271E0F"/>
    <w:rsid w:val="00346908"/>
    <w:rsid w:val="003B0CB0"/>
    <w:rsid w:val="003E6DBA"/>
    <w:rsid w:val="004954FB"/>
    <w:rsid w:val="00503A91"/>
    <w:rsid w:val="00514557"/>
    <w:rsid w:val="005227EA"/>
    <w:rsid w:val="00552F08"/>
    <w:rsid w:val="00587026"/>
    <w:rsid w:val="005B5578"/>
    <w:rsid w:val="00600C1D"/>
    <w:rsid w:val="0062129E"/>
    <w:rsid w:val="00633117"/>
    <w:rsid w:val="00656F8C"/>
    <w:rsid w:val="007C19CD"/>
    <w:rsid w:val="007F0BC6"/>
    <w:rsid w:val="0081177E"/>
    <w:rsid w:val="0086111D"/>
    <w:rsid w:val="008B7787"/>
    <w:rsid w:val="008C2146"/>
    <w:rsid w:val="008F2AAA"/>
    <w:rsid w:val="00960289"/>
    <w:rsid w:val="00984656"/>
    <w:rsid w:val="009D2FF5"/>
    <w:rsid w:val="00A176C2"/>
    <w:rsid w:val="00A64363"/>
    <w:rsid w:val="00B869AA"/>
    <w:rsid w:val="00BB0B3F"/>
    <w:rsid w:val="00BB23AE"/>
    <w:rsid w:val="00BD6191"/>
    <w:rsid w:val="00C07A6D"/>
    <w:rsid w:val="00C32367"/>
    <w:rsid w:val="00C96E61"/>
    <w:rsid w:val="00CE766F"/>
    <w:rsid w:val="00CF407A"/>
    <w:rsid w:val="00D94D54"/>
    <w:rsid w:val="00E02F0D"/>
    <w:rsid w:val="00E11109"/>
    <w:rsid w:val="00E13227"/>
    <w:rsid w:val="00E464B2"/>
    <w:rsid w:val="00EE0957"/>
    <w:rsid w:val="00F15752"/>
    <w:rsid w:val="00F226EB"/>
    <w:rsid w:val="00F427E8"/>
    <w:rsid w:val="00F4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371DD765"/>
  <w15:docId w15:val="{AD5B4326-60FB-40F6-AE12-C2CBE962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24"/>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paragraph" w:styleId="Heading5">
    <w:name w:val="heading 5"/>
    <w:basedOn w:val="Normal"/>
    <w:next w:val="Normal"/>
    <w:link w:val="Heading5Char"/>
    <w:uiPriority w:val="9"/>
    <w:semiHidden/>
    <w:unhideWhenUsed/>
    <w:qFormat/>
    <w:rsid w:val="005B5578"/>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1F1224"/>
    <w:pPr>
      <w:ind w:left="720"/>
      <w:contextualSpacing/>
    </w:pPr>
  </w:style>
  <w:style w:type="character" w:styleId="Strong">
    <w:name w:val="Strong"/>
    <w:basedOn w:val="DefaultParagraphFont"/>
    <w:uiPriority w:val="22"/>
    <w:qFormat/>
    <w:rsid w:val="001F1224"/>
    <w:rPr>
      <w:b/>
      <w:bCs/>
    </w:rPr>
  </w:style>
  <w:style w:type="paragraph" w:customStyle="1" w:styleId="Style1">
    <w:name w:val="Style1"/>
    <w:basedOn w:val="ListParagraph"/>
    <w:link w:val="Style1Char"/>
    <w:qFormat/>
    <w:rsid w:val="001F1224"/>
    <w:pPr>
      <w:numPr>
        <w:numId w:val="2"/>
      </w:numPr>
    </w:pPr>
    <w:rPr>
      <w:b/>
    </w:rPr>
  </w:style>
  <w:style w:type="table" w:styleId="TableGrid">
    <w:name w:val="Table Grid"/>
    <w:basedOn w:val="TableNormal"/>
    <w:uiPriority w:val="59"/>
    <w:rsid w:val="001F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F1224"/>
    <w:rPr>
      <w:rFonts w:ascii="Arial" w:eastAsia="Times New Roman" w:hAnsi="Arial" w:cs="Times New Roman"/>
      <w:szCs w:val="24"/>
      <w:lang w:eastAsia="en-GB"/>
    </w:rPr>
  </w:style>
  <w:style w:type="character" w:customStyle="1" w:styleId="Style1Char">
    <w:name w:val="Style1 Char"/>
    <w:basedOn w:val="ListParagraphChar"/>
    <w:link w:val="Style1"/>
    <w:rsid w:val="001F1224"/>
    <w:rPr>
      <w:rFonts w:ascii="Arial" w:eastAsia="Times New Roman" w:hAnsi="Arial" w:cs="Times New Roman"/>
      <w:b/>
      <w:szCs w:val="24"/>
      <w:lang w:eastAsia="en-GB"/>
    </w:rPr>
  </w:style>
  <w:style w:type="paragraph" w:styleId="Header">
    <w:name w:val="header"/>
    <w:basedOn w:val="Normal"/>
    <w:link w:val="HeaderChar"/>
    <w:uiPriority w:val="99"/>
    <w:unhideWhenUsed/>
    <w:rsid w:val="001F1224"/>
    <w:pPr>
      <w:tabs>
        <w:tab w:val="center" w:pos="4513"/>
        <w:tab w:val="right" w:pos="9026"/>
      </w:tabs>
      <w:spacing w:before="0" w:after="0"/>
    </w:pPr>
  </w:style>
  <w:style w:type="character" w:customStyle="1" w:styleId="HeaderChar">
    <w:name w:val="Header Char"/>
    <w:basedOn w:val="DefaultParagraphFont"/>
    <w:link w:val="Header"/>
    <w:uiPriority w:val="99"/>
    <w:rsid w:val="001F1224"/>
    <w:rPr>
      <w:rFonts w:ascii="Arial" w:eastAsia="Times New Roman" w:hAnsi="Arial" w:cs="Times New Roman"/>
      <w:szCs w:val="24"/>
      <w:lang w:eastAsia="en-GB"/>
    </w:rPr>
  </w:style>
  <w:style w:type="paragraph" w:styleId="Footer">
    <w:name w:val="footer"/>
    <w:basedOn w:val="Normal"/>
    <w:link w:val="FooterChar"/>
    <w:uiPriority w:val="99"/>
    <w:unhideWhenUsed/>
    <w:rsid w:val="001F1224"/>
    <w:pPr>
      <w:tabs>
        <w:tab w:val="center" w:pos="4513"/>
        <w:tab w:val="right" w:pos="9026"/>
      </w:tabs>
      <w:spacing w:before="0" w:after="0"/>
    </w:pPr>
  </w:style>
  <w:style w:type="character" w:customStyle="1" w:styleId="FooterChar">
    <w:name w:val="Footer Char"/>
    <w:basedOn w:val="DefaultParagraphFont"/>
    <w:link w:val="Footer"/>
    <w:uiPriority w:val="99"/>
    <w:rsid w:val="001F1224"/>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C3236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67"/>
    <w:rPr>
      <w:rFonts w:ascii="Tahoma" w:eastAsia="Times New Roman" w:hAnsi="Tahoma" w:cs="Tahoma"/>
      <w:sz w:val="16"/>
      <w:szCs w:val="16"/>
      <w:lang w:eastAsia="en-GB"/>
    </w:rPr>
  </w:style>
  <w:style w:type="paragraph" w:styleId="FootnoteText">
    <w:name w:val="footnote text"/>
    <w:basedOn w:val="Normal"/>
    <w:link w:val="FootnoteTextChar"/>
    <w:semiHidden/>
    <w:rsid w:val="00A176C2"/>
    <w:pPr>
      <w:spacing w:before="0" w:after="0"/>
      <w:jc w:val="left"/>
    </w:pPr>
    <w:rPr>
      <w:rFonts w:ascii="Times New Roman" w:hAnsi="Times New Roman"/>
      <w:sz w:val="20"/>
      <w:szCs w:val="20"/>
      <w:lang w:val="en-US" w:eastAsia="en-US"/>
    </w:rPr>
  </w:style>
  <w:style w:type="character" w:customStyle="1" w:styleId="FootnoteTextChar">
    <w:name w:val="Footnote Text Char"/>
    <w:basedOn w:val="DefaultParagraphFont"/>
    <w:link w:val="FootnoteText"/>
    <w:semiHidden/>
    <w:rsid w:val="00A176C2"/>
    <w:rPr>
      <w:rFonts w:ascii="Times New Roman" w:eastAsia="Times New Roman" w:hAnsi="Times New Roman" w:cs="Times New Roman"/>
      <w:sz w:val="20"/>
      <w:szCs w:val="20"/>
      <w:lang w:val="en-US"/>
    </w:rPr>
  </w:style>
  <w:style w:type="character" w:styleId="FootnoteReference">
    <w:name w:val="footnote reference"/>
    <w:semiHidden/>
    <w:rsid w:val="00A176C2"/>
    <w:rPr>
      <w:vertAlign w:val="superscript"/>
    </w:rPr>
  </w:style>
  <w:style w:type="character" w:styleId="CommentReference">
    <w:name w:val="annotation reference"/>
    <w:basedOn w:val="DefaultParagraphFont"/>
    <w:uiPriority w:val="99"/>
    <w:semiHidden/>
    <w:unhideWhenUsed/>
    <w:rsid w:val="009D2FF5"/>
    <w:rPr>
      <w:sz w:val="16"/>
      <w:szCs w:val="16"/>
    </w:rPr>
  </w:style>
  <w:style w:type="paragraph" w:styleId="CommentText">
    <w:name w:val="annotation text"/>
    <w:basedOn w:val="Normal"/>
    <w:link w:val="CommentTextChar"/>
    <w:uiPriority w:val="99"/>
    <w:semiHidden/>
    <w:unhideWhenUsed/>
    <w:rsid w:val="009D2FF5"/>
    <w:rPr>
      <w:sz w:val="20"/>
      <w:szCs w:val="20"/>
    </w:rPr>
  </w:style>
  <w:style w:type="character" w:customStyle="1" w:styleId="CommentTextChar">
    <w:name w:val="Comment Text Char"/>
    <w:basedOn w:val="DefaultParagraphFont"/>
    <w:link w:val="CommentText"/>
    <w:uiPriority w:val="99"/>
    <w:semiHidden/>
    <w:rsid w:val="009D2FF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2FF5"/>
    <w:rPr>
      <w:b/>
      <w:bCs/>
    </w:rPr>
  </w:style>
  <w:style w:type="character" w:customStyle="1" w:styleId="CommentSubjectChar">
    <w:name w:val="Comment Subject Char"/>
    <w:basedOn w:val="CommentTextChar"/>
    <w:link w:val="CommentSubject"/>
    <w:uiPriority w:val="99"/>
    <w:semiHidden/>
    <w:rsid w:val="009D2FF5"/>
    <w:rPr>
      <w:rFonts w:ascii="Arial" w:eastAsia="Times New Roman" w:hAnsi="Arial" w:cs="Times New Roman"/>
      <w:b/>
      <w:bCs/>
      <w:sz w:val="20"/>
      <w:szCs w:val="20"/>
      <w:lang w:eastAsia="en-GB"/>
    </w:rPr>
  </w:style>
  <w:style w:type="character" w:customStyle="1" w:styleId="Heading5Char">
    <w:name w:val="Heading 5 Char"/>
    <w:basedOn w:val="DefaultParagraphFont"/>
    <w:link w:val="Heading5"/>
    <w:uiPriority w:val="9"/>
    <w:semiHidden/>
    <w:rsid w:val="005B5578"/>
    <w:rPr>
      <w:rFonts w:asciiTheme="majorHAnsi" w:eastAsiaTheme="majorEastAsia" w:hAnsiTheme="majorHAnsi" w:cstheme="majorBidi"/>
      <w:color w:val="243F60" w:themeColor="accent1" w:themeShade="7F"/>
      <w:szCs w:val="24"/>
      <w:lang w:eastAsia="en-GB"/>
    </w:rPr>
  </w:style>
  <w:style w:type="table" w:customStyle="1" w:styleId="TableGrid1">
    <w:name w:val="Table Grid1"/>
    <w:basedOn w:val="TableNormal"/>
    <w:next w:val="TableGrid"/>
    <w:uiPriority w:val="39"/>
    <w:rsid w:val="00F4646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OFFORD, Caroline (SALISBURY NHS FOUNDATION TRUST)</cp:lastModifiedBy>
  <cp:revision>4</cp:revision>
  <dcterms:created xsi:type="dcterms:W3CDTF">2023-06-16T10:33:00Z</dcterms:created>
  <dcterms:modified xsi:type="dcterms:W3CDTF">2023-06-16T11:05:00Z</dcterms:modified>
</cp:coreProperties>
</file>