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  <w:gridCol w:w="3303"/>
      </w:tblGrid>
      <w:tr w:rsidR="000A3B5E" w14:paraId="3F94689A" w14:textId="77777777" w:rsidTr="0034352D">
        <w:tc>
          <w:tcPr>
            <w:tcW w:w="7338" w:type="dxa"/>
          </w:tcPr>
          <w:p w14:paraId="40A282D1" w14:textId="77777777" w:rsidR="000A3B5E" w:rsidRPr="00F522C5" w:rsidRDefault="000A3B5E" w:rsidP="00A775D9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522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SouthWest</w:t>
            </w:r>
            <w:proofErr w:type="spellEnd"/>
            <w:r w:rsidRPr="00F522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Stroke Network</w:t>
            </w:r>
          </w:p>
        </w:tc>
        <w:tc>
          <w:tcPr>
            <w:tcW w:w="3344" w:type="dxa"/>
            <w:vMerge w:val="restart"/>
          </w:tcPr>
          <w:p w14:paraId="358161DF" w14:textId="77777777" w:rsidR="000A3B5E" w:rsidRDefault="000A3B5E" w:rsidP="00A775D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028FE">
              <w:rPr>
                <w:noProof/>
              </w:rPr>
              <w:drawing>
                <wp:inline distT="0" distB="0" distL="0" distR="0" wp14:anchorId="27558453" wp14:editId="16C2305C">
                  <wp:extent cx="1188720" cy="594360"/>
                  <wp:effectExtent l="0" t="0" r="0" b="0"/>
                  <wp:docPr id="1" name="Picture 1" descr="NewNHS_SHF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NHS_SHF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5E" w14:paraId="00BE8088" w14:textId="77777777" w:rsidTr="0034352D">
        <w:tc>
          <w:tcPr>
            <w:tcW w:w="7338" w:type="dxa"/>
          </w:tcPr>
          <w:p w14:paraId="7C545246" w14:textId="77777777" w:rsidR="000A3B5E" w:rsidRDefault="000A3B5E" w:rsidP="00A775D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522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Acute Ischaemic stroke thrombolysis guidelines</w:t>
            </w:r>
          </w:p>
          <w:p w14:paraId="3B7DA573" w14:textId="40ECC66C" w:rsidR="00AE4B82" w:rsidRPr="00AE4B82" w:rsidRDefault="00AE4B82" w:rsidP="00A775D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Page1 of 6</w:t>
            </w:r>
            <w:bookmarkStart w:id="0" w:name="_Hlk160702596"/>
            <w:r w:rsidR="00DD1B98">
              <w:rPr>
                <w:rFonts w:ascii="Arial" w:hAnsi="Arial" w:cs="Arial"/>
                <w:b/>
                <w:bCs/>
                <w:sz w:val="18"/>
                <w:szCs w:val="18"/>
              </w:rPr>
              <w:t>, Version 3</w:t>
            </w:r>
            <w:bookmarkEnd w:id="0"/>
            <w:r w:rsidR="00DD1B98">
              <w:rPr>
                <w:rFonts w:ascii="Arial" w:hAnsi="Arial" w:cs="Arial"/>
                <w:b/>
                <w:bCs/>
                <w:sz w:val="18"/>
                <w:szCs w:val="18"/>
              </w:rPr>
              <w:t>, Dr T Black 03/24</w:t>
            </w:r>
          </w:p>
        </w:tc>
        <w:tc>
          <w:tcPr>
            <w:tcW w:w="3344" w:type="dxa"/>
            <w:vMerge/>
          </w:tcPr>
          <w:p w14:paraId="5E410DE2" w14:textId="77777777" w:rsidR="000A3B5E" w:rsidRDefault="000A3B5E" w:rsidP="00A775D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6362DEED" w14:textId="258F6712" w:rsidR="0063495C" w:rsidRPr="0063495C" w:rsidRDefault="00DD1B98" w:rsidP="0063495C">
      <w:pPr>
        <w:spacing w:after="0"/>
        <w:rPr>
          <w:rFonts w:ascii="Arial" w:hAnsi="Arial" w:cs="Arial"/>
          <w:b/>
          <w:bCs/>
          <w:i/>
          <w:iCs/>
        </w:rPr>
      </w:pPr>
      <w:r w:rsidRPr="0050085C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599360" behindDoc="0" locked="0" layoutInCell="0" allowOverlap="1" wp14:anchorId="5C6E3344" wp14:editId="6E215975">
                <wp:simplePos x="0" y="0"/>
                <wp:positionH relativeFrom="margin">
                  <wp:posOffset>2465070</wp:posOffset>
                </wp:positionH>
                <wp:positionV relativeFrom="page">
                  <wp:posOffset>808355</wp:posOffset>
                </wp:positionV>
                <wp:extent cx="1721485" cy="6727190"/>
                <wp:effectExtent l="0" t="7302" r="23812" b="23813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1485" cy="67271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26FAAA" w14:textId="07EA8B46" w:rsidR="008A3BBF" w:rsidRPr="00040D24" w:rsidRDefault="0050085C" w:rsidP="000A3B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Whilst waiting</w:t>
                            </w:r>
                            <w:r w:rsidR="000A3B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040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0A3B5E" w:rsidRPr="00040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or directly following CT sca</w:t>
                            </w:r>
                            <w:r w:rsidR="000A3B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n</w:t>
                            </w:r>
                            <w:r w:rsidRPr="00040D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(but do not delay CT scan to do any of these):</w:t>
                            </w:r>
                          </w:p>
                          <w:p w14:paraId="2FE87CD1" w14:textId="77777777" w:rsidR="008A3BBF" w:rsidRPr="00040D24" w:rsidRDefault="005008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Take bloods (U+E, glucose, FBC, clotting and total cholesterol) and perform an ECG </w:t>
                            </w:r>
                          </w:p>
                          <w:p w14:paraId="4B4BC74B" w14:textId="77777777" w:rsidR="008A3BBF" w:rsidRPr="00040D24" w:rsidRDefault="005008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IV access x 1 </w:t>
                            </w:r>
                          </w:p>
                          <w:p w14:paraId="0E460772" w14:textId="77777777" w:rsidR="008A3BBF" w:rsidRPr="00040D24" w:rsidRDefault="005008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Check rt-PA exclusions (see next page) with patient or family member </w:t>
                            </w:r>
                          </w:p>
                          <w:p w14:paraId="02611D4C" w14:textId="57CFE4F1" w:rsidR="008A3BBF" w:rsidRPr="00040D24" w:rsidRDefault="005008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If blood pressure consistently &gt;185 SBP or &gt;110 DBP, consider intravenous nitrate or </w:t>
                            </w:r>
                            <w:r w:rsidR="008A3BBF"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Labetalol</w:t>
                            </w: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(see page 5, Management of Blood Pressure) </w:t>
                            </w:r>
                          </w:p>
                          <w:p w14:paraId="13A1A8FD" w14:textId="6C35D0B3" w:rsidR="008A3BBF" w:rsidRPr="00040D24" w:rsidRDefault="005008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· If blood pressure remains above 185/110</w:t>
                            </w:r>
                            <w:r w:rsidR="008A3BBF"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beyond the thrombolysis time limit</w:t>
                            </w: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the patient is not eligible for thrombolysis</w:t>
                            </w:r>
                            <w:r w:rsidR="008A3BBF"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They may be still eligible for mechanical </w:t>
                            </w:r>
                            <w:r w:rsidR="000A3B5E"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thrombectomy.</w:t>
                            </w: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0628BC" w14:textId="1E7E2103" w:rsidR="0050085C" w:rsidRPr="00040D24" w:rsidRDefault="0050085C" w:rsidP="005008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· Site manager to clear an appropriate bed on Fa</w:t>
                            </w:r>
                            <w:r w:rsidR="008A3BBF" w:rsidRPr="00040D2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rley stroke unit urgently.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E3344" id="AutoShape 2" o:spid="_x0000_s1026" style="position:absolute;margin-left:194.1pt;margin-top:63.65pt;width:135.55pt;height:529.7pt;rotation:90;z-index:251599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4LMgIAAFoEAAAOAAAAZHJzL2Uyb0RvYy54bWysVNuO0zAQfUfiHyy/01y2u+1GTVerrhYh&#10;LRex8AGu7TQB22Nsp0n5esZOWwo8ICH6YHnGmTMzZ850dTdqRfbS+Q5MTYtZTok0HERndjX9/Onx&#10;1ZISH5gRTIGRNT1IT+/WL1+sBlvJElpQQjqCIMZXg61pG4KtsszzVmrmZ2ClwccGnGYBTbfLhGMD&#10;omuVlXl+kw3ghHXApffofZge6TrhN43k4X3TeBmIqinWFtLp0rmNZ7ZesWrnmG07fiyD/UMVmnUG&#10;k56hHlhgpHfdH1C64w48NGHGQWfQNB2XqQfspsh/6+a5ZVamXpAcb880+f8Hy9/tn+0HF0v39gn4&#10;V08MbFpmdvLeORhayQSmKyJR2WB9dQ6IhsdQsh3egsDRsj5A4mBsnCYOkOvreR5/yYu9kjERfzgT&#10;L8dAODqLRVnMl9eUcHy7WZSL4jaNJmNVBIvVWefDawmaxEtNHfRGfMTxJmy2f/Ih0S+IYToWI75Q&#10;0miFw9wzRYqr/KpMPbDq+DFinzBT96A68dgplYwoP7lRjmBwTcNYpjSq19jq5EPxYWNJPuhGkU3u&#10;5cmN8EnEEQWpQ+sygTJ/zzlx/ksgwsTINIjIfZS5r8K4HbGQeN2COOBIEvkod1xM5KoF952SAUVe&#10;U/+tZ05Sot4YHOttMZ/HrUgGXtyld3vyMsMRAmmgZLpuwrRBvXXdrsUMRaLHwD1KoOnCSStTNcd6&#10;UcCJh+OyxQ25tNNXP/8S1j8AAAD//wMAUEsDBBQABgAIAAAAIQCyMEgv4QAAAAsBAAAPAAAAZHJz&#10;L2Rvd25yZXYueG1sTI+xTsMwFEV3JP7BekgsqLUTMG1DnAohMbBAKR06OvEjDsR2ZDtN+HvcCcan&#10;e3TveeV2Nj05oQ+dswKyJQOCtnGqs62Aw8fzYg0kRGmV7J1FAT8YYFtdXpSyUG6y73jax5akEhsK&#10;KUDHOBSUhkajkWHpBrQp+3TeyJhO31Ll5ZTKTU9zxu6pkZ1NC1oO+KSx+d6PRgDzO3bzeszkl+7G&#10;txXWU3d42QlxfTU/PgCJOMc/GM76SR2q5FS70apAegELvkmkAJ5nd0DOAOO3HEgtYLXJOdCqpP9/&#10;qH4BAAD//wMAUEsBAi0AFAAGAAgAAAAhALaDOJL+AAAA4QEAABMAAAAAAAAAAAAAAAAAAAAAAFtD&#10;b250ZW50X1R5cGVzXS54bWxQSwECLQAUAAYACAAAACEAOP0h/9YAAACUAQAACwAAAAAAAAAAAAAA&#10;AAAvAQAAX3JlbHMvLnJlbHNQSwECLQAUAAYACAAAACEAH5xuCzICAABaBAAADgAAAAAAAAAAAAAA&#10;AAAuAgAAZHJzL2Uyb0RvYy54bWxQSwECLQAUAAYACAAAACEAsjBIL+EAAAALAQAADwAAAAAAAAAA&#10;AAAAAACMBAAAZHJzL2Rvd25yZXYueG1sUEsFBgAAAAAEAAQA8wAAAJoFAAAAAA==&#10;" o:allowincell="f" fillcolor="#c6d9f1 [671]" strokecolor="black [3213]">
                <v:textbox inset=",0,,0">
                  <w:txbxContent>
                    <w:p w14:paraId="0B26FAAA" w14:textId="07EA8B46" w:rsidR="008A3BBF" w:rsidRPr="00040D24" w:rsidRDefault="0050085C" w:rsidP="000A3B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040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Whilst waiting</w:t>
                      </w:r>
                      <w:r w:rsidR="000A3B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,</w:t>
                      </w:r>
                      <w:r w:rsidRPr="00040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0A3B5E" w:rsidRPr="00040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or directly following CT sca</w:t>
                      </w:r>
                      <w:r w:rsidR="000A3B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n</w:t>
                      </w:r>
                      <w:r w:rsidRPr="00040D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(but do not delay CT scan to do any of these):</w:t>
                      </w:r>
                    </w:p>
                    <w:p w14:paraId="2FE87CD1" w14:textId="77777777" w:rsidR="008A3BBF" w:rsidRPr="00040D24" w:rsidRDefault="005008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· Take bloods (U+E, glucose, FBC, clotting and total cholesterol) and perform an ECG </w:t>
                      </w:r>
                    </w:p>
                    <w:p w14:paraId="4B4BC74B" w14:textId="77777777" w:rsidR="008A3BBF" w:rsidRPr="00040D24" w:rsidRDefault="005008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· IV access x 1 </w:t>
                      </w:r>
                    </w:p>
                    <w:p w14:paraId="0E460772" w14:textId="77777777" w:rsidR="008A3BBF" w:rsidRPr="00040D24" w:rsidRDefault="005008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· Check rt-PA exclusions (see next page) with patient or family member </w:t>
                      </w:r>
                    </w:p>
                    <w:p w14:paraId="02611D4C" w14:textId="57CFE4F1" w:rsidR="008A3BBF" w:rsidRPr="00040D24" w:rsidRDefault="005008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· If blood pressure consistently &gt;185 SBP or &gt;110 DBP, consider intravenous nitrate or </w:t>
                      </w:r>
                      <w:r w:rsidR="008A3BBF"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Labetalol</w:t>
                      </w: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(see page 5, Management of Blood Pressure) </w:t>
                      </w:r>
                    </w:p>
                    <w:p w14:paraId="13A1A8FD" w14:textId="6C35D0B3" w:rsidR="008A3BBF" w:rsidRPr="00040D24" w:rsidRDefault="005008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· If blood pressure remains above 185/110</w:t>
                      </w:r>
                      <w:r w:rsidR="008A3BBF"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beyond the thrombolysis time limit</w:t>
                      </w: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the patient is not eligible for thrombolysis</w:t>
                      </w:r>
                      <w:r w:rsidR="008A3BBF"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 They may be still eligible for mechanical </w:t>
                      </w:r>
                      <w:r w:rsidR="000A3B5E"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thrombectomy.</w:t>
                      </w: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0628BC" w14:textId="1E7E2103" w:rsidR="0050085C" w:rsidRPr="00040D24" w:rsidRDefault="0050085C" w:rsidP="005008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· Site manager to clear an appropriate bed on Fa</w:t>
                      </w:r>
                      <w:r w:rsidR="008A3BBF" w:rsidRPr="00040D2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rley stroke unit urgently.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63495C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595264" behindDoc="0" locked="0" layoutInCell="0" allowOverlap="1" wp14:anchorId="63CD18F6" wp14:editId="0E6A3772">
                <wp:simplePos x="0" y="0"/>
                <wp:positionH relativeFrom="margin">
                  <wp:posOffset>2271871</wp:posOffset>
                </wp:positionH>
                <wp:positionV relativeFrom="margin">
                  <wp:posOffset>-1652111</wp:posOffset>
                </wp:positionV>
                <wp:extent cx="2076768" cy="6732905"/>
                <wp:effectExtent l="0" t="4128" r="14923" b="14922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768" cy="6732905"/>
                        </a:xfrm>
                        <a:prstGeom prst="roundRect">
                          <a:avLst>
                            <a:gd name="adj" fmla="val 1543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00E77C" w14:textId="755D640F" w:rsidR="0063495C" w:rsidRPr="000A3B5E" w:rsidRDefault="000A3B5E" w:rsidP="000A3B5E">
                            <w:pP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A3B5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Eligibility</w:t>
                            </w:r>
                            <w:r w:rsidR="0063495C" w:rsidRPr="000A3B5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for consideration of IV treatment with alteplase</w:t>
                            </w:r>
                            <w:r w:rsidR="0050085C" w:rsidRPr="000A3B5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or tenectaplase</w:t>
                            </w:r>
                          </w:p>
                          <w:p w14:paraId="74670677" w14:textId="19939F47" w:rsidR="0063495C" w:rsidRPr="00040D24" w:rsidRDefault="00F522C5" w:rsidP="006349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Age &gt;18 (no upper age limit)</w:t>
                            </w:r>
                          </w:p>
                          <w:p w14:paraId="4F522150" w14:textId="2B1F24D5" w:rsidR="00F522C5" w:rsidRPr="00040D24" w:rsidRDefault="00F522C5" w:rsidP="006349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Clinical diagnosis of stroke causing measurable neurological deficit</w:t>
                            </w:r>
                          </w:p>
                          <w:p w14:paraId="64D4D94A" w14:textId="19257B55" w:rsidR="00F522C5" w:rsidRPr="00040D24" w:rsidRDefault="00F522C5" w:rsidP="006349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Time of symptom onset is known to &lt; 4.5 hours (time last seen well if onset not known or wake up event)</w:t>
                            </w:r>
                          </w:p>
                          <w:p w14:paraId="4DF93B4D" w14:textId="28408EB6" w:rsidR="00F522C5" w:rsidRPr="00040D24" w:rsidRDefault="00F522C5" w:rsidP="006349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Thrombolysis can be given to patients 4.5 to 9 hours and wake-up events if favourable CT perfusion criteria are met.</w:t>
                            </w:r>
                          </w:p>
                          <w:p w14:paraId="4FAFA9D1" w14:textId="32C02CDD" w:rsidR="00F522C5" w:rsidRPr="00040D24" w:rsidRDefault="00F522C5" w:rsidP="00F522C5">
                            <w:pP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If ‘Yes’ to above criteria, proceed to Acute stroke thrombolysis </w:t>
                            </w:r>
                            <w:r w:rsidR="000A3B5E" w:rsidRPr="00040D2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</w:rPr>
                              <w:t>pathway.</w:t>
                            </w:r>
                          </w:p>
                          <w:p w14:paraId="6E60E044" w14:textId="7CE6DE8E" w:rsidR="00F522C5" w:rsidRPr="00040D24" w:rsidRDefault="00F522C5" w:rsidP="00500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Assess and briefly examine patient, including an estimate of the patient’s weight.</w:t>
                            </w:r>
                          </w:p>
                          <w:p w14:paraId="3FF4EF36" w14:textId="002967F9" w:rsidR="00F522C5" w:rsidRPr="00040D24" w:rsidRDefault="00F522C5" w:rsidP="00500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Focussed history and examination, BM, GCS, NIHSS </w:t>
                            </w:r>
                            <w:r w:rsidR="000A3B5E"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score.</w:t>
                            </w:r>
                          </w:p>
                          <w:p w14:paraId="4100AEB2" w14:textId="65062589" w:rsidR="00F522C5" w:rsidRPr="00040D24" w:rsidRDefault="00F522C5" w:rsidP="00500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Immediate CT head scan (with CT angiography if eligible for mechanical thrombectomy</w:t>
                            </w:r>
                            <w:r w:rsidR="0050085C"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CT Perfusion if between 4.5 and nine hours for thrombolysis and 6 to 24 hours for mechanical thrombectomy)</w:t>
                            </w:r>
                          </w:p>
                          <w:p w14:paraId="37DAE7E4" w14:textId="17D62341" w:rsidR="0050085C" w:rsidRPr="00040D24" w:rsidRDefault="0050085C" w:rsidP="0050085C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Contact clinician authorised to deliver thrombolysis (Stroke Physician on call via switchboard)</w:t>
                            </w:r>
                          </w:p>
                          <w:p w14:paraId="0B71ADE8" w14:textId="77777777" w:rsidR="0063495C" w:rsidRPr="00040D24" w:rsidRDefault="0063495C" w:rsidP="0050085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D18F6" id="_x0000_s1027" style="position:absolute;margin-left:178.9pt;margin-top:-130.1pt;width:163.55pt;height:530.15pt;rotation:90;z-index:251595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dTMwIAAGEEAAAOAAAAZHJzL2Uyb0RvYy54bWysVNtu2zAMfR+wfxD0vthJkzQ14hRFig4D&#10;ugvW7QMUSY69SaImybGzry8lO2m2PQwYlgdBpMxD8vAw69teK3KQzjdgSjqd5JRIw0E0Zl/Sr18e&#10;3qwo8YEZwRQYWdKj9PR28/rVurOFnEENSkhHEMT4orMlrUOwRZZ5XkvN/ASsNPhYgdMsoOn2mXCs&#10;Q3StslmeL7MOnLAOuPQevffDI90k/KqSPHysKi8DUSXF2kI6XTp38cw2a1bsHbN1w8cy2D9UoVlj&#10;MOkZ6p4FRlrX/AGlG+7AQxUmHHQGVdVwmXrAbqb5b9081czK1AuS4+2ZJv//YPmHw5P95GLp3j4C&#10;/+6JgW3NzF7eOQddLZnAdNNIVNZZX5wDouExlOy69yBwtKwNkDjoK6eJA+R6Mc/jL3mxV9In4o9n&#10;4mUfCEfnLL9eXi9RKhzfltdXs5t8kTKyIoLF6qzz4a0ETeKlpA5aIz7jeBM2Ozz6kOgXxDAdixHf&#10;KKm0wmEemCLTxfxqNSKOH2cvmKl7UI14aJRKRpSf3CpHMLikoZ+lNKrV2OrgQ/FhY0k+6EaRDe7V&#10;yY3wScQRBalD6zKBMn/POXD+SyDCxMg0iMh9lLkvQr/rSSPGKUXPDsQRJ5NmgKrH/UTKanA/KelQ&#10;6yX1P1rmJCXqncHp3kzn87gcycCLu/TuTl5mOEIgG5QM120YFqm1rtnXmGGaWDJwh0qomnCSzFDN&#10;WDbqONEx7lxclEs7ffXyz7B5BgAA//8DAFBLAwQUAAYACAAAACEAQyzmfeMAAAALAQAADwAAAGRy&#10;cy9kb3ducmV2LnhtbEyPzW7CMBCE75X6DtZW6gWBzU+QlcZBUaWqlXqoChzgZuJtkjZeR7GB8PaY&#10;Ez3u7Gjmm2w12JadsPeNIwXTiQCGVDrTUKVgu3kbS2A+aDK6dYQKLuhhlT8+ZDo17kzfeFqHisUQ&#10;8qlWUIfQpZz7skar/cR1SPH343qrQzz7ipten2O4bflMiCW3uqHYUOsOX2ss/9ZHq6DYmY/f6nMm&#10;+df7XhaXbiS9HSn1/DQUL8ACDuFuhht+RIc8Mh3ckYxnrYKxjOQh6mK5AHYziGSaADsoWMznCfA8&#10;4/835FcAAAD//wMAUEsBAi0AFAAGAAgAAAAhALaDOJL+AAAA4QEAABMAAAAAAAAAAAAAAAAAAAAA&#10;AFtDb250ZW50X1R5cGVzXS54bWxQSwECLQAUAAYACAAAACEAOP0h/9YAAACUAQAACwAAAAAAAAAA&#10;AAAAAAAvAQAAX3JlbHMvLnJlbHNQSwECLQAUAAYACAAAACEAiFpHUzMCAABhBAAADgAAAAAAAAAA&#10;AAAAAAAuAgAAZHJzL2Uyb0RvYy54bWxQSwECLQAUAAYACAAAACEAQyzmfeMAAAALAQAADwAAAAAA&#10;AAAAAAAAAACNBAAAZHJzL2Rvd25yZXYueG1sUEsFBgAAAAAEAAQA8wAAAJ0FAAAAAA==&#10;" o:allowincell="f" fillcolor="#c6d9f1 [671]" strokecolor="black [3213]">
                <v:textbox inset=",0,,0">
                  <w:txbxContent>
                    <w:p w14:paraId="0B00E77C" w14:textId="755D640F" w:rsidR="0063495C" w:rsidRPr="000A3B5E" w:rsidRDefault="000A3B5E" w:rsidP="000A3B5E">
                      <w:pPr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0A3B5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Eligibility</w:t>
                      </w:r>
                      <w:r w:rsidR="0063495C" w:rsidRPr="000A3B5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for consideration of IV treatment with alteplase</w:t>
                      </w:r>
                      <w:r w:rsidR="0050085C" w:rsidRPr="000A3B5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or tenectaplase</w:t>
                      </w:r>
                    </w:p>
                    <w:p w14:paraId="74670677" w14:textId="19939F47" w:rsidR="0063495C" w:rsidRPr="00040D24" w:rsidRDefault="00F522C5" w:rsidP="006349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Age &gt;18 (no upper age limit)</w:t>
                      </w:r>
                    </w:p>
                    <w:p w14:paraId="4F522150" w14:textId="2B1F24D5" w:rsidR="00F522C5" w:rsidRPr="00040D24" w:rsidRDefault="00F522C5" w:rsidP="006349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Clinical diagnosis of stroke causing measurable neurological deficit</w:t>
                      </w:r>
                    </w:p>
                    <w:p w14:paraId="64D4D94A" w14:textId="19257B55" w:rsidR="00F522C5" w:rsidRPr="00040D24" w:rsidRDefault="00F522C5" w:rsidP="006349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Time of symptom onset is known to &lt; 4.5 hours (time last seen well if onset not known or wake up event)</w:t>
                      </w:r>
                    </w:p>
                    <w:p w14:paraId="4DF93B4D" w14:textId="28408EB6" w:rsidR="00F522C5" w:rsidRPr="00040D24" w:rsidRDefault="00F522C5" w:rsidP="006349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Thrombolysis can be given to patients 4.5 to 9 hours and wake-up events if favourable CT perfusion criteria are met.</w:t>
                      </w:r>
                    </w:p>
                    <w:p w14:paraId="4FAFA9D1" w14:textId="32C02CDD" w:rsidR="00F522C5" w:rsidRPr="00040D24" w:rsidRDefault="00F522C5" w:rsidP="00F522C5">
                      <w:pPr>
                        <w:spacing w:after="0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</w:rPr>
                        <w:t xml:space="preserve">If ‘Yes’ to above criteria, proceed to Acute stroke thrombolysis </w:t>
                      </w:r>
                      <w:r w:rsidR="000A3B5E" w:rsidRPr="00040D2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</w:rPr>
                        <w:t>pathway.</w:t>
                      </w:r>
                    </w:p>
                    <w:p w14:paraId="6E60E044" w14:textId="7CE6DE8E" w:rsidR="00F522C5" w:rsidRPr="00040D24" w:rsidRDefault="00F522C5" w:rsidP="00500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Assess and briefly examine patient, including an estimate of the patient’s weight.</w:t>
                      </w:r>
                    </w:p>
                    <w:p w14:paraId="3FF4EF36" w14:textId="002967F9" w:rsidR="00F522C5" w:rsidRPr="00040D24" w:rsidRDefault="00F522C5" w:rsidP="00500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Focussed history and examination, BM, GCS, NIHSS </w:t>
                      </w:r>
                      <w:r w:rsidR="000A3B5E"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score.</w:t>
                      </w:r>
                    </w:p>
                    <w:p w14:paraId="4100AEB2" w14:textId="65062589" w:rsidR="00F522C5" w:rsidRPr="00040D24" w:rsidRDefault="00F522C5" w:rsidP="00500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Immediate CT head scan (with CT angiography if eligible for mechanical thrombectomy</w:t>
                      </w:r>
                      <w:r w:rsidR="0050085C"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CT Perfusion if between 4.5 and nine hours for thrombolysis and 6 to 24 hours for mechanical thrombectomy)</w:t>
                      </w:r>
                    </w:p>
                    <w:p w14:paraId="37DAE7E4" w14:textId="17D62341" w:rsidR="0050085C" w:rsidRPr="00040D24" w:rsidRDefault="0050085C" w:rsidP="0050085C">
                      <w:pPr>
                        <w:spacing w:after="0"/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rFonts w:ascii="Arial" w:eastAsiaTheme="majorEastAsia" w:hAnsi="Arial" w:cs="Arial"/>
                          <w:color w:val="000000" w:themeColor="text1"/>
                          <w:sz w:val="18"/>
                          <w:szCs w:val="18"/>
                        </w:rPr>
                        <w:t>Contact clinician authorised to deliver thrombolysis (Stroke Physician on call via switchboard)</w:t>
                      </w:r>
                    </w:p>
                    <w:p w14:paraId="0B71ADE8" w14:textId="77777777" w:rsidR="0063495C" w:rsidRPr="00040D24" w:rsidRDefault="0063495C" w:rsidP="0050085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0FF1D9" w14:textId="23B9BC8B" w:rsidR="004F5CF9" w:rsidRPr="0063495C" w:rsidRDefault="004F5CF9" w:rsidP="0063495C">
      <w:pPr>
        <w:spacing w:after="0"/>
        <w:rPr>
          <w:rFonts w:ascii="Arial" w:hAnsi="Arial" w:cs="Arial"/>
          <w:b/>
          <w:bCs/>
          <w:i/>
          <w:iCs/>
        </w:rPr>
      </w:pPr>
    </w:p>
    <w:p w14:paraId="77BE35AD" w14:textId="15A40FBD" w:rsidR="00961462" w:rsidRDefault="00961462">
      <w:pPr>
        <w:spacing w:after="0"/>
        <w:rPr>
          <w:rFonts w:ascii="Arial" w:hAnsi="Arial" w:cs="Arial"/>
        </w:rPr>
      </w:pPr>
    </w:p>
    <w:p w14:paraId="3A94A929" w14:textId="3925D463" w:rsidR="00961462" w:rsidRDefault="00961462">
      <w:pPr>
        <w:spacing w:after="0"/>
        <w:rPr>
          <w:rFonts w:ascii="Arial" w:hAnsi="Arial" w:cs="Arial"/>
        </w:rPr>
      </w:pPr>
    </w:p>
    <w:p w14:paraId="1652B6BA" w14:textId="0E9B165B" w:rsidR="00961462" w:rsidRDefault="00961462">
      <w:pPr>
        <w:spacing w:after="0"/>
        <w:rPr>
          <w:rFonts w:ascii="Arial" w:hAnsi="Arial" w:cs="Arial"/>
        </w:rPr>
      </w:pPr>
    </w:p>
    <w:p w14:paraId="60152938" w14:textId="7D35AA50" w:rsidR="00961462" w:rsidRDefault="00961462">
      <w:pPr>
        <w:spacing w:after="0"/>
        <w:rPr>
          <w:rFonts w:ascii="Arial" w:hAnsi="Arial" w:cs="Arial"/>
        </w:rPr>
      </w:pPr>
    </w:p>
    <w:p w14:paraId="42AA73AC" w14:textId="0C502606" w:rsidR="00961462" w:rsidRDefault="00961462">
      <w:pPr>
        <w:spacing w:after="0"/>
        <w:rPr>
          <w:rFonts w:ascii="Arial" w:hAnsi="Arial" w:cs="Arial"/>
        </w:rPr>
      </w:pPr>
    </w:p>
    <w:p w14:paraId="319C55CE" w14:textId="121FE8FF" w:rsidR="00961462" w:rsidRDefault="00961462">
      <w:pPr>
        <w:spacing w:after="0"/>
        <w:rPr>
          <w:rFonts w:ascii="Arial" w:hAnsi="Arial" w:cs="Arial"/>
        </w:rPr>
      </w:pPr>
    </w:p>
    <w:p w14:paraId="4014DC50" w14:textId="77777777" w:rsidR="00961462" w:rsidRDefault="00961462">
      <w:pPr>
        <w:spacing w:after="0"/>
        <w:rPr>
          <w:rFonts w:ascii="Arial" w:hAnsi="Arial" w:cs="Arial"/>
        </w:rPr>
      </w:pPr>
    </w:p>
    <w:p w14:paraId="7F751630" w14:textId="71410B40" w:rsidR="00961462" w:rsidRDefault="00DD1B98">
      <w:pPr>
        <w:spacing w:after="0"/>
        <w:rPr>
          <w:rFonts w:ascii="Arial" w:hAnsi="Arial" w:cs="Arial"/>
        </w:rPr>
      </w:pPr>
      <w:r w:rsidRPr="008A3BBF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604480" behindDoc="0" locked="0" layoutInCell="0" allowOverlap="1" wp14:anchorId="3DF5FCBB" wp14:editId="6E5EA664">
                <wp:simplePos x="0" y="0"/>
                <wp:positionH relativeFrom="margin">
                  <wp:posOffset>2249170</wp:posOffset>
                </wp:positionH>
                <wp:positionV relativeFrom="margin">
                  <wp:posOffset>2376805</wp:posOffset>
                </wp:positionV>
                <wp:extent cx="2122805" cy="6705600"/>
                <wp:effectExtent l="0" t="5397" r="24447" b="2444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2805" cy="6705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3872F5" w14:textId="6E09495F" w:rsidR="008A3BBF" w:rsidRPr="00040D24" w:rsidRDefault="008A3BBF" w:rsidP="000A3B5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0D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Post </w:t>
                            </w:r>
                            <w:r w:rsidR="000A3B5E" w:rsidRPr="00040D2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CT scan</w:t>
                            </w:r>
                          </w:p>
                          <w:p w14:paraId="744B9955" w14:textId="5E415C08" w:rsidR="00FD7CD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Contact on call Regional Stroke Physician for advice (through switchboard)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They </w:t>
                            </w: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may want to review the scan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don’t wait for the scan report. M</w:t>
                            </w: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ake sure the radiographer sends the images 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the Biotronics internet cloud</w:t>
                            </w: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system for </w:t>
                            </w:r>
                            <w:r w:rsidR="000A3B5E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viewing and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activates the Brainomix AI report.</w:t>
                            </w:r>
                          </w:p>
                          <w:p w14:paraId="4E8363E3" w14:textId="77777777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If no radiological exclusion criteria briefly reassess patient to exclude rapidly improving signs </w:t>
                            </w:r>
                          </w:p>
                          <w:p w14:paraId="730ADABA" w14:textId="77777777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· Obtain patient verbal assent to rt-PA treatment </w:t>
                            </w:r>
                          </w:p>
                          <w:p w14:paraId="6744932F" w14:textId="77777777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If patient is unable to assent, discuss with family but act in patient’s best interest</w:t>
                            </w:r>
                          </w:p>
                          <w:p w14:paraId="4A468329" w14:textId="25ED0F97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Do not await blood results unless current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ly on warfarin (may still be eligible for thrombolysis if INR&lt; 1.7)</w:t>
                            </w: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stop infusion if subsequent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blood count</w:t>
                            </w: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results are outside tolerated limits</w:t>
                            </w:r>
                          </w:p>
                          <w:p w14:paraId="5DC07706" w14:textId="77777777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Reconstitute rt-PA and start administration</w:t>
                            </w:r>
                          </w:p>
                          <w:p w14:paraId="2F16F752" w14:textId="77777777" w:rsidR="00FD7CD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Dose of rt-PA: 0.9 mg/kg up to a maximum of 90 mg, whichever is the lesser. Give 10% as a bolus over 1-2 minutes and the remaining 90% as a 1-hour infusion</w:t>
                            </w:r>
                            <w:r w:rsidR="00FD7CDF"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D5BEF2" w14:textId="1423739D" w:rsidR="008A3BBF" w:rsidRPr="00040D24" w:rsidRDefault="008A3BBF" w:rsidP="008A3BBF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D2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· Withhold aspirin, heparin, DOAC and warfarin for 24 hours</w:t>
                            </w:r>
                          </w:p>
                          <w:p w14:paraId="2C115CA0" w14:textId="03DD34B0" w:rsidR="008A3BBF" w:rsidRPr="00040D24" w:rsidRDefault="008A3BBF" w:rsidP="008A3BBF">
                            <w:pPr>
                              <w:spacing w:line="72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5FCBB" id="_x0000_s1028" style="position:absolute;margin-left:177.1pt;margin-top:187.15pt;width:167.15pt;height:528pt;rotation:90;z-index:251604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VINAIAAGEEAAAOAAAAZHJzL2Uyb0RvYy54bWysVNuO0zAQfUfiHyy/01y2LSVqulp1tQhp&#10;uYiFD3BtpzE4HmM7TcrXM3babgUPSIg+WJ5x5szMmTNd346dJgfpvAJT02KWUyINB6HMvqZfvzy8&#10;WlHiAzOCaTCypkfp6e3m5Yv1YCtZQgtaSEcQxPhqsDVtQ7BVlnneyo75GVhp8LEB17GApttnwrEB&#10;0TudlXm+zAZwwjrg0nv03k+PdJPwm0by8LFpvAxE1xRrC+l06dzFM9usWbV3zLaKn8pg/1BFx5TB&#10;pBeoexYY6Z36A6pT3IGHJsw4dBk0jeIy9YDdFPlv3Ty1zMrUC5Lj7YUm//9g+YfDk/3kYunePgL/&#10;7omBbcvMXt45B0MrmcB0RSQqG6yvLgHR8BhKdsN7EDha1gdIHIyN64gD5Hoxz+MvebFXMibijxfi&#10;5RgIR2dZlOUqX1DC8W35Ol8sMShmZFUEi9VZ58NbCR2Jl5o66I34jONN2Ozw6EOiXxDDuliM+EZJ&#10;02kc5oFpUtzkN+UJ8fQxYp8xU/eglXhQWicjyk9utSMYXNMwlimN7jtsdfKh+KYaWYVuFNnkXp3d&#10;CJ9EHFFSI/46gTZ/zzlxjjDPgQgaI9MgIvdR5r4K424kSiCNscPo2YE44mTSDFD1uJ9IWQvuJyUD&#10;ar2m/kfPnKREvzM43TfFfB6XIxl4cdfe3dnLDEcIZIOS6boN0yL11ql9ixmKxJKBO1RCo8JZMlM1&#10;p7JRx4mO087FRbm201fP/wybXwAAAP//AwBQSwMEFAAGAAgAAAAhAJDrdLngAAAADAEAAA8AAABk&#10;cnMvZG93bnJldi54bWxMj7FOwzAQhnck3sE6JBbU2oGSlhCnQkgMLLSUDh2d+IgNsR3ZThPeHmeC&#10;7T/dp/++K7eT6cgZfdDOcsiWDAjaxkltWw7Hj5fFBkiIwkrROYscfjDAtrq8KEUh3Wjf8XyILUkl&#10;NhSCg4qxLygNjUIjwtL1aNPu03kjYhp9S6UXYyo3Hb1lLKdGaJsuKNHjs8Lm+zAYDszv2c3bKRNf&#10;Sg+7NdajPr7uOb++mp4egUSc4h8Ms35Shyo51W6wMpCOwyLPE8lhfXefAZkBtnpYAannlKdEq5L+&#10;f6L6BQAA//8DAFBLAQItABQABgAIAAAAIQC2gziS/gAAAOEBAAATAAAAAAAAAAAAAAAAAAAAAABb&#10;Q29udGVudF9UeXBlc10ueG1sUEsBAi0AFAAGAAgAAAAhADj9If/WAAAAlAEAAAsAAAAAAAAAAAAA&#10;AAAALwEAAF9yZWxzLy5yZWxzUEsBAi0AFAAGAAgAAAAhACwMtUg0AgAAYQQAAA4AAAAAAAAAAAAA&#10;AAAALgIAAGRycy9lMm9Eb2MueG1sUEsBAi0AFAAGAAgAAAAhAJDrdLngAAAADAEAAA8AAAAAAAAA&#10;AAAAAAAAjgQAAGRycy9kb3ducmV2LnhtbFBLBQYAAAAABAAEAPMAAACbBQAAAAA=&#10;" o:allowincell="f" fillcolor="#c6d9f1 [671]" strokecolor="black [3213]">
                <v:textbox inset=",0,,0">
                  <w:txbxContent>
                    <w:p w14:paraId="643872F5" w14:textId="6E09495F" w:rsidR="008A3BBF" w:rsidRPr="00040D24" w:rsidRDefault="008A3BBF" w:rsidP="000A3B5E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040D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Post </w:t>
                      </w:r>
                      <w:r w:rsidR="000A3B5E" w:rsidRPr="00040D2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CT scan</w:t>
                      </w:r>
                    </w:p>
                    <w:p w14:paraId="744B9955" w14:textId="5E415C08" w:rsidR="00FD7CD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Contact on call Regional Stroke Physician for advice (through switchboard)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They </w:t>
                      </w: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may want to review the scan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, don’t wait for the scan report. M</w:t>
                      </w: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ake sure the radiographer sends the images 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to the Biotronics internet cloud</w:t>
                      </w: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system for </w:t>
                      </w:r>
                      <w:r w:rsidR="000A3B5E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viewing and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activates the Brainomix AI report.</w:t>
                      </w:r>
                    </w:p>
                    <w:p w14:paraId="4E8363E3" w14:textId="77777777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· If no radiological exclusion criteria briefly reassess patient to exclude rapidly improving signs </w:t>
                      </w:r>
                    </w:p>
                    <w:p w14:paraId="730ADABA" w14:textId="77777777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· Obtain patient verbal assent to rt-PA treatment </w:t>
                      </w:r>
                    </w:p>
                    <w:p w14:paraId="6744932F" w14:textId="77777777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If patient is unable to assent, discuss with family but act in patient’s best interest</w:t>
                      </w:r>
                    </w:p>
                    <w:p w14:paraId="4A468329" w14:textId="25ED0F97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Do not await blood results unless current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ly on warfarin (may still be eligible for thrombolysis if INR&lt; 1.7)</w:t>
                      </w: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- stop infusion if subsequent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blood count</w:t>
                      </w: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results are outside tolerated limits</w:t>
                      </w:r>
                    </w:p>
                    <w:p w14:paraId="5DC07706" w14:textId="77777777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Reconstitute rt-PA and start administration</w:t>
                      </w:r>
                    </w:p>
                    <w:p w14:paraId="2F16F752" w14:textId="77777777" w:rsidR="00FD7CD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Dose of rt-PA: 0.9 mg/kg up to a maximum of 90 mg, whichever is the lesser. Give 10% as a bolus over 1-2 minutes and the remaining 90% as a 1-hour infusion</w:t>
                      </w:r>
                      <w:r w:rsidR="00FD7CDF"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4D5BEF2" w14:textId="1423739D" w:rsidR="008A3BBF" w:rsidRPr="00040D24" w:rsidRDefault="008A3BBF" w:rsidP="008A3BBF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40D24">
                        <w:rPr>
                          <w:color w:val="000000" w:themeColor="text1"/>
                          <w:sz w:val="18"/>
                          <w:szCs w:val="18"/>
                        </w:rPr>
                        <w:t>· Withhold aspirin, heparin, DOAC and warfarin for 24 hours</w:t>
                      </w:r>
                    </w:p>
                    <w:p w14:paraId="2C115CA0" w14:textId="03DD34B0" w:rsidR="008A3BBF" w:rsidRPr="00040D24" w:rsidRDefault="008A3BBF" w:rsidP="008A3BBF">
                      <w:pPr>
                        <w:spacing w:line="72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E35809A" w14:textId="6DC0CB3D" w:rsidR="00961462" w:rsidRDefault="00DD1B98">
      <w:pPr>
        <w:spacing w:after="0"/>
        <w:rPr>
          <w:rFonts w:ascii="Arial" w:hAnsi="Arial" w:cs="Arial"/>
        </w:rPr>
      </w:pPr>
      <w:r w:rsidRPr="00961462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623936" behindDoc="0" locked="0" layoutInCell="0" allowOverlap="1" wp14:anchorId="72A659C8" wp14:editId="2BA9EF18">
                <wp:simplePos x="0" y="0"/>
                <wp:positionH relativeFrom="margin">
                  <wp:posOffset>2827655</wp:posOffset>
                </wp:positionH>
                <wp:positionV relativeFrom="margin">
                  <wp:posOffset>5808345</wp:posOffset>
                </wp:positionV>
                <wp:extent cx="935355" cy="6599555"/>
                <wp:effectExtent l="6350" t="0" r="23495" b="2349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5355" cy="6599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C959A5" w14:textId="77777777" w:rsidR="00961462" w:rsidRDefault="00961462" w:rsidP="0096146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Standard Post Thrombolysis Care for Stroke</w:t>
                            </w:r>
                          </w:p>
                          <w:p w14:paraId="5EC015D6" w14:textId="77777777" w:rsidR="00961462" w:rsidRDefault="00961462" w:rsidP="0096146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61462">
                              <w:rPr>
                                <w:sz w:val="18"/>
                                <w:szCs w:val="18"/>
                              </w:rPr>
                              <w:t>· Avoid urinary catheterisation during thrombolysis and for 30 minutes after completion</w:t>
                            </w:r>
                          </w:p>
                          <w:p w14:paraId="07A77F46" w14:textId="77777777" w:rsidR="00961462" w:rsidRDefault="00961462" w:rsidP="0096146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61462">
                              <w:rPr>
                                <w:sz w:val="18"/>
                                <w:szCs w:val="18"/>
                              </w:rPr>
                              <w:t xml:space="preserve">· Avoid venous or arterial puncture during thrombolysis </w:t>
                            </w:r>
                          </w:p>
                          <w:p w14:paraId="51C508A6" w14:textId="77777777" w:rsidR="00961462" w:rsidRDefault="00961462" w:rsidP="0096146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61462">
                              <w:rPr>
                                <w:sz w:val="18"/>
                                <w:szCs w:val="18"/>
                              </w:rPr>
                              <w:t>· Avoid nasogastric tube placement for first 24 hours</w:t>
                            </w:r>
                          </w:p>
                          <w:p w14:paraId="08FA1143" w14:textId="669B7992" w:rsidR="00961462" w:rsidRPr="00961462" w:rsidRDefault="00961462" w:rsidP="0096146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61462">
                              <w:rPr>
                                <w:sz w:val="18"/>
                                <w:szCs w:val="18"/>
                              </w:rPr>
                              <w:t xml:space="preserve">· Consider CT scan @ 24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659C8" id="_x0000_s1029" style="position:absolute;margin-left:222.65pt;margin-top:457.35pt;width:73.65pt;height:519.65pt;rotation:90;z-index:251623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kNAIAAGAEAAAOAAAAZHJzL2Uyb0RvYy54bWysVNtu2zAMfR+wfxD0vthO4qIx4hRFig4D&#10;ugvW7QMUSY61yaImybGzrx8lJ2mwPQwYlgdBpMxD8vAw67ux0+QgnVdgalrMckqk4SCU2df065fH&#10;N7eU+MCMYBqMrOlRenq3ef1qPdhKzqEFLaQjCGJ8NdiatiHYKss8b2XH/AysNPjYgOtYQNPtM+HY&#10;gOidzuZ5fpMN4IR1wKX36H2YHukm4TeN5OFj03gZiK4p1hbS6dK5i2e2WbNq75htFT+Vwf6hio4p&#10;g0kvUA8sMNI79QdUp7gDD02YcegyaBrFZeoBuyny37p5bpmVqRckx9sLTf7/wfIPh2f7ycXSvX0C&#10;/t0TA9uWmb28dw6GVjKB6YpIVDZYX10CouExlOyG9yBwtKwPkDgYG9cRB8h1uczjL3mxVzIm4o8X&#10;4uUYCEfnalEuypISjk835WpVohETsipixeKs8+GthI7ES00d9EZ8xukmaHZ48iGxL4hhXaxFfKOk&#10;6TTO8sA0KRb5Yn5CPH2M2GfM1DxoJR6V1smI6pNb7QgG1zSM85RG9x12OvlQe9hXUg+6UWOT+/bs&#10;Rvik4YiSGvHXCbT5e86JcoR5CUTQGJnmEKmPKvdVGHcjUaKmi1hP9OxAHHEwaQQoelxPpKwF95OS&#10;AaVeU/+jZ05Sot8ZHO6qWC7jbiQDL+7auzt7meEIgWxQMl23Ydqj3jq1bzFDkVgycI9CaFQ4K2aq&#10;5lQ2yjjRcVq5uCfXdvrq5Y9h8wsAAP//AwBQSwMEFAAGAAgAAAAhAAOxor3gAAAADAEAAA8AAABk&#10;cnMvZG93bnJldi54bWxMjzFPwzAQhXck/oN1SCyotUtFGqVxKoTEwAKldGB04mtsiO0odprw77lO&#10;sL279/Tuu3I3u46dcYg2eAmrpQCGvgna+lbC8eN5kQOLSXmtuuBRwg9G2FXXV6UqdJj8O54PqWVU&#10;4mOhJJiU+oLz2Bh0Ki5Dj568UxicSjQOLdeDmqjcdfxeiIw7ZT1dMKrHJ4PN92F0EsSwF3evnyv1&#10;Zez4tsF6sseXvZS3N/PjFljCOf2F4YJP6FARUx1GryPrJCw2FKT1OhOkLgGxzjNgNakHkQvgVcn/&#10;P1H9AgAA//8DAFBLAQItABQABgAIAAAAIQC2gziS/gAAAOEBAAATAAAAAAAAAAAAAAAAAAAAAABb&#10;Q29udGVudF9UeXBlc10ueG1sUEsBAi0AFAAGAAgAAAAhADj9If/WAAAAlAEAAAsAAAAAAAAAAAAA&#10;AAAALwEAAF9yZWxzLy5yZWxzUEsBAi0AFAAGAAgAAAAhAGy+4yQ0AgAAYAQAAA4AAAAAAAAAAAAA&#10;AAAALgIAAGRycy9lMm9Eb2MueG1sUEsBAi0AFAAGAAgAAAAhAAOxor3gAAAADAEAAA8AAAAAAAAA&#10;AAAAAAAAjgQAAGRycy9kb3ducmV2LnhtbFBLBQYAAAAABAAEAPMAAACbBQAAAAA=&#10;" o:allowincell="f" fillcolor="#c6d9f1 [671]" strokecolor="black [3213]">
                <v:textbox inset=",0,,0">
                  <w:txbxContent>
                    <w:p w14:paraId="04C959A5" w14:textId="77777777" w:rsidR="00961462" w:rsidRDefault="00961462" w:rsidP="00961462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Standard Post Thrombolysis Care for Stroke</w:t>
                      </w:r>
                    </w:p>
                    <w:p w14:paraId="5EC015D6" w14:textId="77777777" w:rsidR="00961462" w:rsidRDefault="00961462" w:rsidP="0096146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61462">
                        <w:rPr>
                          <w:sz w:val="18"/>
                          <w:szCs w:val="18"/>
                        </w:rPr>
                        <w:t>· Avoid urinary catheterisation during thrombolysis and for 30 minutes after completion</w:t>
                      </w:r>
                    </w:p>
                    <w:p w14:paraId="07A77F46" w14:textId="77777777" w:rsidR="00961462" w:rsidRDefault="00961462" w:rsidP="0096146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61462">
                        <w:rPr>
                          <w:sz w:val="18"/>
                          <w:szCs w:val="18"/>
                        </w:rPr>
                        <w:t xml:space="preserve">· Avoid venous or arterial puncture during thrombolysis </w:t>
                      </w:r>
                    </w:p>
                    <w:p w14:paraId="51C508A6" w14:textId="77777777" w:rsidR="00961462" w:rsidRDefault="00961462" w:rsidP="0096146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61462">
                        <w:rPr>
                          <w:sz w:val="18"/>
                          <w:szCs w:val="18"/>
                        </w:rPr>
                        <w:t>· Avoid nasogastric tube placement for first 24 hours</w:t>
                      </w:r>
                    </w:p>
                    <w:p w14:paraId="08FA1143" w14:textId="669B7992" w:rsidR="00961462" w:rsidRPr="00961462" w:rsidRDefault="00961462" w:rsidP="0096146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61462">
                        <w:rPr>
                          <w:sz w:val="18"/>
                          <w:szCs w:val="18"/>
                        </w:rPr>
                        <w:t xml:space="preserve">· Consider CT scan @ 24 </w:t>
                      </w:r>
                      <w:r>
                        <w:rPr>
                          <w:sz w:val="18"/>
                          <w:szCs w:val="18"/>
                        </w:rPr>
                        <w:t>hours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281958" wp14:editId="06B6D4F2">
                <wp:simplePos x="0" y="0"/>
                <wp:positionH relativeFrom="column">
                  <wp:posOffset>3207385</wp:posOffset>
                </wp:positionH>
                <wp:positionV relativeFrom="paragraph">
                  <wp:posOffset>5947410</wp:posOffset>
                </wp:positionV>
                <wp:extent cx="265430" cy="314325"/>
                <wp:effectExtent l="19050" t="0" r="2032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510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52.55pt;margin-top:468.3pt;width:20.9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9+WgIAANkEAAAOAAAAZHJzL2Uyb0RvYy54bWysVN9P2zAQfp+0/8Hy+0hbUgYVKeqoOk1C&#10;gAQTz1fHaSI5Pu/sNmV//c5OSoHxNK0P7p3v9+fvcnm1b43YafIN2kKOT0ZSaKuwbOymkD8fV1/O&#10;pfABbAkGrS7ks/byav7502XnZnqCNZpSk+Ak1s86V8g6BDfLMq9q3YI/QactGyukFgKrtMlKgo6z&#10;tyabjEZnWYdUOkKlvefbZW+U85S/qrQKd1XldRCmkNxbSCelcx3PbH4Jsw2Bqxs1tAH/0EULjeWi&#10;L6mWEEBsqfkrVdsoQo9VOFHYZlhVjdJpBp5mPHo3zUMNTqdZGBzvXmDy/y+tut09uHtiGDrnZ57F&#10;OMW+ojb+c39in8B6fgFL74NQfDk5m+anDKli0+k4P51MI5jZMdiRD981tiIKhSyxswsi7BJOsLvx&#10;ofc/+MWCHk1TrhpjkkKb9bUhsQN+vHx1Pv62HEq8cTNWdNzONB/FboBJVBkILLauLKS3GynAbJid&#10;KlCq/Sbaf1AkFa+h1H3p6Yh/h8q9exr0TZ44xRJ83Yck0xBibMynExmHoY9YR2mN5fM9CcKend6p&#10;VcPZbsCHeyCmI8/FKxbu+KgM8rA4SFLUSL8/uo/+zBK2StExvRmIX1sgLYX5YZk/F+M8j/uQlHz6&#10;dcIKvbasX1vstr1GfoQxL7NTSYz+wRzEirB94k1cxKpsAqu4dg/5oFyHfu14l5VeLJIb74CDcGMf&#10;nIrJI04Rx8f9E5AbeBOYcLd4WAWYvWNO7xsjLS62Aasm0eqIKz9VVHh/0qMNux4X9LWevI5fpPkf&#10;AAAA//8DAFBLAwQUAAYACAAAACEAt+IspOAAAAALAQAADwAAAGRycy9kb3ducmV2LnhtbEyPwU7D&#10;MAyG70i8Q2QkbizpoKUrTSdA4sIBQYeQuKVNaKolTtVkW3l7zAmOtj/9/v56u3jHjmaOY0AJ2UoA&#10;M9gHPeIg4X33dFUCi0mhVi6gkfBtImyb87NaVTqc8M0c2zQwCsFYKQk2paniPPbWeBVXYTJIt68w&#10;e5VonAeuZ3WicO/4WoiCezUifbBqMo/W9Pv24CXgw34XHb6un2+7D12Kz6V94VbKy4vl/g5YMkv6&#10;g+FXn9ShIacuHFBH5iTkIs8IlbC5LgpgROQ3xQZYR5uyyIA3Nf/fofkBAAD//wMAUEsBAi0AFAAG&#10;AAgAAAAhALaDOJL+AAAA4QEAABMAAAAAAAAAAAAAAAAAAAAAAFtDb250ZW50X1R5cGVzXS54bWxQ&#10;SwECLQAUAAYACAAAACEAOP0h/9YAAACUAQAACwAAAAAAAAAAAAAAAAAvAQAAX3JlbHMvLnJlbHNQ&#10;SwECLQAUAAYACAAAACEA93EvfloCAADZBAAADgAAAAAAAAAAAAAAAAAuAgAAZHJzL2Uyb0RvYy54&#10;bWxQSwECLQAUAAYACAAAACEAt+IspOAAAAALAQAADwAAAAAAAAAAAAAAAAC0BAAAZHJzL2Rvd25y&#10;ZXYueG1sUEsFBgAAAAAEAAQA8wAAAMEFAAAAAA==&#10;" adj="1248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74417E" wp14:editId="06F194A9">
                <wp:simplePos x="0" y="0"/>
                <wp:positionH relativeFrom="column">
                  <wp:posOffset>3162300</wp:posOffset>
                </wp:positionH>
                <wp:positionV relativeFrom="paragraph">
                  <wp:posOffset>4260215</wp:posOffset>
                </wp:positionV>
                <wp:extent cx="265430" cy="314325"/>
                <wp:effectExtent l="19050" t="0" r="2032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1E05" id="Arrow: Down 12" o:spid="_x0000_s1026" type="#_x0000_t67" style="position:absolute;margin-left:249pt;margin-top:335.45pt;width:20.9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9+WgIAANkEAAAOAAAAZHJzL2Uyb0RvYy54bWysVN9P2zAQfp+0/8Hy+0hbUgYVKeqoOk1C&#10;gAQTz1fHaSI5Pu/sNmV//c5OSoHxNK0P7p3v9+fvcnm1b43YafIN2kKOT0ZSaKuwbOymkD8fV1/O&#10;pfABbAkGrS7ks/byav7502XnZnqCNZpSk+Ak1s86V8g6BDfLMq9q3YI/QactGyukFgKrtMlKgo6z&#10;tyabjEZnWYdUOkKlvefbZW+U85S/qrQKd1XldRCmkNxbSCelcx3PbH4Jsw2Bqxs1tAH/0EULjeWi&#10;L6mWEEBsqfkrVdsoQo9VOFHYZlhVjdJpBp5mPHo3zUMNTqdZGBzvXmDy/y+tut09uHtiGDrnZ57F&#10;OMW+ojb+c39in8B6fgFL74NQfDk5m+anDKli0+k4P51MI5jZMdiRD981tiIKhSyxswsi7BJOsLvx&#10;ofc/+MWCHk1TrhpjkkKb9bUhsQN+vHx1Pv62HEq8cTNWdNzONB/FboBJVBkILLauLKS3GynAbJid&#10;KlCq/Sbaf1AkFa+h1H3p6Yh/h8q9exr0TZ44xRJ83Yck0xBibMynExmHoY9YR2mN5fM9CcKend6p&#10;VcPZbsCHeyCmI8/FKxbu+KgM8rA4SFLUSL8/uo/+zBK2StExvRmIX1sgLYX5YZk/F+M8j/uQlHz6&#10;dcIKvbasX1vstr1GfoQxL7NTSYz+wRzEirB94k1cxKpsAqu4dg/5oFyHfu14l5VeLJIb74CDcGMf&#10;nIrJI04Rx8f9E5AbeBOYcLd4WAWYvWNO7xsjLS62Aasm0eqIKz9VVHh/0qMNux4X9LWevI5fpPkf&#10;AAAA//8DAFBLAwQUAAYACAAAACEArM9r/+AAAAALAQAADwAAAGRycy9kb3ducmV2LnhtbEyPy07D&#10;MBBF90j8gzVI7KhNKM2DOBUgsWGBIEVI7JzYxFHtcRS7bfh7hhUsR3N17zn1dvGOHc0cx4ASrlcC&#10;mME+6BEHCe+7p6sCWEwKtXIBjYRvE2HbnJ/VqtLhhG/m2KaBUQnGSkmwKU0V57G3xqu4CpNB+n2F&#10;2atE5zxwPasTlXvHMyE23KsRacGqyTxa0+/bg5eAD/tddPiaPefdhy7E59K+cCvl5cVyfwcsmSX9&#10;heEXn9ChIaYuHFBH5iSsy4JckoRNLkpglLi9KUmmk5BnYg28qfl/h+YHAAD//wMAUEsBAi0AFAAG&#10;AAgAAAAhALaDOJL+AAAA4QEAABMAAAAAAAAAAAAAAAAAAAAAAFtDb250ZW50X1R5cGVzXS54bWxQ&#10;SwECLQAUAAYACAAAACEAOP0h/9YAAACUAQAACwAAAAAAAAAAAAAAAAAvAQAAX3JlbHMvLnJlbHNQ&#10;SwECLQAUAAYACAAAACEA93EvfloCAADZBAAADgAAAAAAAAAAAAAAAAAuAgAAZHJzL2Uyb0RvYy54&#10;bWxQSwECLQAUAAYACAAAACEArM9r/+AAAAALAQAADwAAAAAAAAAAAAAAAAC0BAAAZHJzL2Rvd25y&#10;ZXYueG1sUEsFBgAAAAAEAAQA8wAAAMEFAAAAAA==&#10;" adj="12480" fillcolor="#4f81bd" strokecolor="#385d8a" strokeweight="2pt"/>
            </w:pict>
          </mc:Fallback>
        </mc:AlternateContent>
      </w:r>
      <w:r w:rsidRPr="00040D24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615744" behindDoc="0" locked="0" layoutInCell="0" allowOverlap="1" wp14:anchorId="5F416B83" wp14:editId="03C3E3F7">
                <wp:simplePos x="0" y="0"/>
                <wp:positionH relativeFrom="margin">
                  <wp:posOffset>2487930</wp:posOffset>
                </wp:positionH>
                <wp:positionV relativeFrom="margin">
                  <wp:posOffset>4373245</wp:posOffset>
                </wp:positionV>
                <wp:extent cx="1684655" cy="6674485"/>
                <wp:effectExtent l="635" t="0" r="11430" b="1143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684655" cy="6674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3DDF22" w14:textId="77777777" w:rsidR="000A3B5E" w:rsidRDefault="000A3B5E" w:rsidP="000A3B5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Transfer patient to appropriate bed on Farley Stroke Unit when available</w:t>
                            </w:r>
                          </w:p>
                          <w:p w14:paraId="2973F6B0" w14:textId="4EC184DE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 xml:space="preserve">Check blood results and review eligibility to continue </w:t>
                            </w:r>
                            <w:r w:rsidR="0034352D" w:rsidRPr="000A3B5E">
                              <w:rPr>
                                <w:sz w:val="18"/>
                                <w:szCs w:val="18"/>
                              </w:rPr>
                              <w:t>thrombolysis.</w:t>
                            </w:r>
                          </w:p>
                          <w:p w14:paraId="7AF83C94" w14:textId="162786A3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 xml:space="preserve">Monitor BP at </w:t>
                            </w:r>
                            <w:r w:rsidR="0034352D" w:rsidRPr="000A3B5E">
                              <w:rPr>
                                <w:sz w:val="18"/>
                                <w:szCs w:val="18"/>
                              </w:rPr>
                              <w:t>15-minute</w:t>
                            </w:r>
                            <w:r w:rsidRPr="000A3B5E">
                              <w:rPr>
                                <w:sz w:val="18"/>
                                <w:szCs w:val="18"/>
                              </w:rPr>
                              <w:t xml:space="preserve"> intervals during infusion, </w:t>
                            </w:r>
                            <w:r w:rsidR="0034352D" w:rsidRPr="000A3B5E">
                              <w:rPr>
                                <w:sz w:val="18"/>
                                <w:szCs w:val="18"/>
                              </w:rPr>
                              <w:t>1-hour</w:t>
                            </w:r>
                            <w:r w:rsidRPr="000A3B5E">
                              <w:rPr>
                                <w:sz w:val="18"/>
                                <w:szCs w:val="18"/>
                              </w:rPr>
                              <w:t xml:space="preserve"> intervals for 6 hrs and then 4-hourly up to 24 hrs</w:t>
                            </w:r>
                          </w:p>
                          <w:p w14:paraId="427BEC0E" w14:textId="77777777" w:rsidR="000A3B5E" w:rsidRPr="000A3B5E" w:rsidRDefault="000A3B5E" w:rsidP="000A3B5E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STOP infusion if:</w:t>
                            </w:r>
                          </w:p>
                          <w:p w14:paraId="6A15C2A8" w14:textId="77777777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>· Anaphylaxis (incidence 1.5% in 1 study), marked hypotension</w:t>
                            </w:r>
                          </w:p>
                          <w:p w14:paraId="2CA45BB6" w14:textId="77777777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 xml:space="preserve">· Neurological deterioration – </w:t>
                            </w:r>
                          </w:p>
                          <w:p w14:paraId="372F6FE7" w14:textId="6093239A" w:rsidR="000A3B5E" w:rsidRPr="000A3B5E" w:rsidRDefault="000A3B5E" w:rsidP="0034352D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>conscious level (2 points GCS eye/motor score</w:t>
                            </w:r>
                            <w:r w:rsidR="0034352D" w:rsidRPr="000A3B5E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39A0B61D" w14:textId="215C6E78" w:rsidR="000A3B5E" w:rsidRPr="000A3B5E" w:rsidRDefault="000A3B5E" w:rsidP="0034352D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>NIHSS &gt;4 points</w:t>
                            </w:r>
                          </w:p>
                          <w:p w14:paraId="1175BD28" w14:textId="77777777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>· BP &gt;185/110 mm Hg if sustained or associated with neurological deterioration</w:t>
                            </w:r>
                          </w:p>
                          <w:p w14:paraId="7C1306A2" w14:textId="41C72F7E" w:rsidR="000A3B5E" w:rsidRPr="000A3B5E" w:rsidRDefault="000A3B5E" w:rsidP="000A3B5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A3B5E">
                              <w:rPr>
                                <w:sz w:val="18"/>
                                <w:szCs w:val="18"/>
                              </w:rPr>
                              <w:t>· Major systemic bleeding</w:t>
                            </w:r>
                          </w:p>
                          <w:p w14:paraId="0FE079EF" w14:textId="1216EB73" w:rsidR="00040D24" w:rsidRDefault="00040D24" w:rsidP="000A3B5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16B83" id="_x0000_s1030" style="position:absolute;margin-left:195.9pt;margin-top:344.35pt;width:132.65pt;height:525.55pt;rotation:-90;flip:x;z-index:251615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9ZOgIAAGsEAAAOAAAAZHJzL2Uyb0RvYy54bWysVNuO0zAQfUfiHyy/0yTdtJSo6WrV1QLS&#10;chELH+DaTmNwPMZ2mixfz9hpuwUekBB9sDzjzJmZc2a6vh47TQ7SeQWmpsUsp0QaDkKZfU2/fL57&#10;saLEB2YE02BkTR+lp9eb58/Wg63kHFrQQjqCIMZXg61pG4KtsszzVnbMz8BKg48NuI4FNN0+E44N&#10;iN7pbJ7ny2wAJ6wDLr1H7+30SDcJv2kkDx+axstAdE2xtpBOl85dPLPNmlV7x2yr+LEM9g9VdEwZ&#10;THqGumWBkd6pP6A6xR14aMKMQ5dB0yguUw/YTZH/1s1Dy6xMvSA53p5p8v8Plr8/PNiPLpbu7T3w&#10;b54Y2LbM7OWNczC0kglMV0SissH66hwQDY+hZDe8A4HSsj5A4mBsXEccINeLMo8/Shqt7JsIExNh&#10;12RMEjyeJZBjIBydxXJVLhcLSji+LZcvy3K1SLlZFWFjuHU+vJbQkXipqYPeiE8odMJmh3sfkhCC&#10;GNbFssRXzN9plPXANCmu8qv5EfH4cfaEmXgArcSd0joZcRDlVjuCwTUN4zyl0X2HTU8+HENsMQ0S&#10;unHcJvfq5Eb4NM4RBUlE6zKBNn/PObH/SyDCxMgkSVQhDryvwrgbiRI1LWM90bMD8YgaJTVQB9xU&#10;pKwF94OSAae+pv57z5ykRL81qPOroizjmiQDL+7Suzt5meEIgWxQMl23YVqp3jq1bzHDJLSBG5yJ&#10;RoXT8EzVHMvGiU50HLcvrsylnb56+o/Y/AQAAP//AwBQSwMEFAAGAAgAAAAhAHL1+yrhAAAADQEA&#10;AA8AAABkcnMvZG93bnJldi54bWxMj0FLxDAQhe+C/yGM4G036aq11qaLCFL0Iq6LeMw2sSk2k5Kk&#10;2/rvnT3pbWbe4833qu3iBnY0IfYeJWRrAcxg63WPnYT9+9OqABaTQq0Gj0bCj4mwrc/PKlVqP+Ob&#10;Oe5SxygEY6kk2JTGkvPYWuNUXPvRIGlfPjiVaA0d10HNFO4GvhEi5071SB+sGs2jNe33bnISVHjd&#10;j5t5+iwa+5xebpdGfOSNlJcXy8M9sGSW9GeGEz6hQ01MBz+hjmyQsMoyctJdFFkO7OQQN4LqHWi6&#10;us7vgNcV/9+i/gUAAP//AwBQSwECLQAUAAYACAAAACEAtoM4kv4AAADhAQAAEwAAAAAAAAAAAAAA&#10;AAAAAAAAW0NvbnRlbnRfVHlwZXNdLnhtbFBLAQItABQABgAIAAAAIQA4/SH/1gAAAJQBAAALAAAA&#10;AAAAAAAAAAAAAC8BAABfcmVscy8ucmVsc1BLAQItABQABgAIAAAAIQAbnq9ZOgIAAGsEAAAOAAAA&#10;AAAAAAAAAAAAAC4CAABkcnMvZTJvRG9jLnhtbFBLAQItABQABgAIAAAAIQBy9fsq4QAAAA0BAAAP&#10;AAAAAAAAAAAAAAAAAJQEAABkcnMvZG93bnJldi54bWxQSwUGAAAAAAQABADzAAAAogUAAAAA&#10;" o:allowincell="f" fillcolor="#c6d9f1 [671]" strokecolor="black [3213]">
                <v:textbox inset=",0,,0">
                  <w:txbxContent>
                    <w:p w14:paraId="5E3DDF22" w14:textId="77777777" w:rsidR="000A3B5E" w:rsidRDefault="000A3B5E" w:rsidP="000A3B5E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Transfer patient to appropriate bed on Farley Stroke Unit when available</w:t>
                      </w:r>
                    </w:p>
                    <w:p w14:paraId="2973F6B0" w14:textId="4EC184DE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 xml:space="preserve">Check blood results and review eligibility to continue </w:t>
                      </w:r>
                      <w:r w:rsidR="0034352D" w:rsidRPr="000A3B5E">
                        <w:rPr>
                          <w:sz w:val="18"/>
                          <w:szCs w:val="18"/>
                        </w:rPr>
                        <w:t>thrombolysis.</w:t>
                      </w:r>
                    </w:p>
                    <w:p w14:paraId="7AF83C94" w14:textId="162786A3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 xml:space="preserve">Monitor BP at </w:t>
                      </w:r>
                      <w:r w:rsidR="0034352D" w:rsidRPr="000A3B5E">
                        <w:rPr>
                          <w:sz w:val="18"/>
                          <w:szCs w:val="18"/>
                        </w:rPr>
                        <w:t>15-minute</w:t>
                      </w:r>
                      <w:r w:rsidRPr="000A3B5E">
                        <w:rPr>
                          <w:sz w:val="18"/>
                          <w:szCs w:val="18"/>
                        </w:rPr>
                        <w:t xml:space="preserve"> intervals during infusion, </w:t>
                      </w:r>
                      <w:r w:rsidR="0034352D" w:rsidRPr="000A3B5E">
                        <w:rPr>
                          <w:sz w:val="18"/>
                          <w:szCs w:val="18"/>
                        </w:rPr>
                        <w:t>1-hour</w:t>
                      </w:r>
                      <w:r w:rsidRPr="000A3B5E">
                        <w:rPr>
                          <w:sz w:val="18"/>
                          <w:szCs w:val="18"/>
                        </w:rPr>
                        <w:t xml:space="preserve"> intervals for 6 hrs and then 4-hourly up to 24 hrs</w:t>
                      </w:r>
                    </w:p>
                    <w:p w14:paraId="427BEC0E" w14:textId="77777777" w:rsidR="000A3B5E" w:rsidRPr="000A3B5E" w:rsidRDefault="000A3B5E" w:rsidP="000A3B5E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A3B5E">
                        <w:rPr>
                          <w:b/>
                          <w:bCs/>
                          <w:sz w:val="18"/>
                          <w:szCs w:val="18"/>
                        </w:rPr>
                        <w:t>STOP infusion if:</w:t>
                      </w:r>
                    </w:p>
                    <w:p w14:paraId="6A15C2A8" w14:textId="77777777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>· Anaphylaxis (incidence 1.5% in 1 study), marked hypotension</w:t>
                      </w:r>
                    </w:p>
                    <w:p w14:paraId="2CA45BB6" w14:textId="77777777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 xml:space="preserve">· Neurological deterioration – </w:t>
                      </w:r>
                    </w:p>
                    <w:p w14:paraId="372F6FE7" w14:textId="6093239A" w:rsidR="000A3B5E" w:rsidRPr="000A3B5E" w:rsidRDefault="000A3B5E" w:rsidP="0034352D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>conscious level (2 points GCS eye/motor score</w:t>
                      </w:r>
                      <w:r w:rsidR="0034352D" w:rsidRPr="000A3B5E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39A0B61D" w14:textId="215C6E78" w:rsidR="000A3B5E" w:rsidRPr="000A3B5E" w:rsidRDefault="000A3B5E" w:rsidP="0034352D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>NIHSS &gt;4 points</w:t>
                      </w:r>
                    </w:p>
                    <w:p w14:paraId="1175BD28" w14:textId="77777777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>· BP &gt;185/110 mm Hg if sustained or associated with neurological deterioration</w:t>
                      </w:r>
                    </w:p>
                    <w:p w14:paraId="7C1306A2" w14:textId="41C72F7E" w:rsidR="000A3B5E" w:rsidRPr="000A3B5E" w:rsidRDefault="000A3B5E" w:rsidP="000A3B5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A3B5E">
                        <w:rPr>
                          <w:sz w:val="18"/>
                          <w:szCs w:val="18"/>
                        </w:rPr>
                        <w:t>· Major systemic bleeding</w:t>
                      </w:r>
                    </w:p>
                    <w:p w14:paraId="0FE079EF" w14:textId="1216EB73" w:rsidR="00040D24" w:rsidRDefault="00040D24" w:rsidP="000A3B5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5B91A9" wp14:editId="1C993A81">
                <wp:simplePos x="0" y="0"/>
                <wp:positionH relativeFrom="column">
                  <wp:posOffset>3159760</wp:posOffset>
                </wp:positionH>
                <wp:positionV relativeFrom="paragraph">
                  <wp:posOffset>2021840</wp:posOffset>
                </wp:positionV>
                <wp:extent cx="265430" cy="314325"/>
                <wp:effectExtent l="19050" t="0" r="2032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DCD3" id="Arrow: Down 10" o:spid="_x0000_s1026" type="#_x0000_t67" style="position:absolute;margin-left:248.8pt;margin-top:159.2pt;width:20.9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9+WgIAANkEAAAOAAAAZHJzL2Uyb0RvYy54bWysVN9P2zAQfp+0/8Hy+0hbUgYVKeqoOk1C&#10;gAQTz1fHaSI5Pu/sNmV//c5OSoHxNK0P7p3v9+fvcnm1b43YafIN2kKOT0ZSaKuwbOymkD8fV1/O&#10;pfABbAkGrS7ks/byav7502XnZnqCNZpSk+Ak1s86V8g6BDfLMq9q3YI/QactGyukFgKrtMlKgo6z&#10;tyabjEZnWYdUOkKlvefbZW+U85S/qrQKd1XldRCmkNxbSCelcx3PbH4Jsw2Bqxs1tAH/0EULjeWi&#10;L6mWEEBsqfkrVdsoQo9VOFHYZlhVjdJpBp5mPHo3zUMNTqdZGBzvXmDy/y+tut09uHtiGDrnZ57F&#10;OMW+ojb+c39in8B6fgFL74NQfDk5m+anDKli0+k4P51MI5jZMdiRD981tiIKhSyxswsi7BJOsLvx&#10;ofc/+MWCHk1TrhpjkkKb9bUhsQN+vHx1Pv62HEq8cTNWdNzONB/FboBJVBkILLauLKS3GynAbJid&#10;KlCq/Sbaf1AkFa+h1H3p6Yh/h8q9exr0TZ44xRJ83Yck0xBibMynExmHoY9YR2mN5fM9CcKend6p&#10;VcPZbsCHeyCmI8/FKxbu+KgM8rA4SFLUSL8/uo/+zBK2StExvRmIX1sgLYX5YZk/F+M8j/uQlHz6&#10;dcIKvbasX1vstr1GfoQxL7NTSYz+wRzEirB94k1cxKpsAqu4dg/5oFyHfu14l5VeLJIb74CDcGMf&#10;nIrJI04Rx8f9E5AbeBOYcLd4WAWYvWNO7xsjLS62Aasm0eqIKz9VVHh/0qMNux4X9LWevI5fpPkf&#10;AAAA//8DAFBLAwQUAAYACAAAACEAu7QyCeAAAAALAQAADwAAAGRycy9kb3ducmV2LnhtbEyPy07D&#10;MBBF90j8gzVI7KjTB3kRpwIkNiwQpKhSd05s4qj2OIrdNvw9wwp28zi6c6bazs6ys57C4FHAcpEA&#10;09h5NWAv4HP3cpcDC1GiktajFvCtA2zr66tKlspf8EOfm9gzCsFQSgEmxrHkPHRGOxkWftRIuy8/&#10;ORmpnXquJnmhcGf5KklS7uSAdMHIUT8b3R2bkxOAT8ddsPi+es3avcqTw9y8cSPE7c38+AAs6jn+&#10;wfCrT+pQk1PrT6gCswI2RZYSKmC9zDfAiLhfF1S0NEmzAnhd8f8/1D8AAAD//wMAUEsBAi0AFAAG&#10;AAgAAAAhALaDOJL+AAAA4QEAABMAAAAAAAAAAAAAAAAAAAAAAFtDb250ZW50X1R5cGVzXS54bWxQ&#10;SwECLQAUAAYACAAAACEAOP0h/9YAAACUAQAACwAAAAAAAAAAAAAAAAAvAQAAX3JlbHMvLnJlbHNQ&#10;SwECLQAUAAYACAAAACEA93EvfloCAADZBAAADgAAAAAAAAAAAAAAAAAuAgAAZHJzL2Uyb0RvYy54&#10;bWxQSwECLQAUAAYACAAAACEAu7QyCeAAAAALAQAADwAAAAAAAAAAAAAAAAC0BAAAZHJzL2Rvd25y&#10;ZXYueG1sUEsFBgAAAAAEAAQA8wAAAMEFAAAAAA==&#10;" adj="1248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2ECDAC" wp14:editId="7A37F621">
                <wp:simplePos x="0" y="0"/>
                <wp:positionH relativeFrom="column">
                  <wp:posOffset>3162300</wp:posOffset>
                </wp:positionH>
                <wp:positionV relativeFrom="paragraph">
                  <wp:posOffset>186055</wp:posOffset>
                </wp:positionV>
                <wp:extent cx="265430" cy="314325"/>
                <wp:effectExtent l="19050" t="0" r="2032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F7C2" id="Arrow: Down 8" o:spid="_x0000_s1026" type="#_x0000_t67" style="position:absolute;margin-left:249pt;margin-top:14.65pt;width:20.9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/hXgIAABcFAAAOAAAAZHJzL2Uyb0RvYy54bWysVMFu2zAMvQ/YPwi6r3bSpNuCOEXQosOA&#10;og2WDj0rslQbkEWNUuJkXz9KdpygLXYYloNCieQj9fyo+fW+MWyn0NdgCz66yDlTVkJZ25eC/3y6&#10;+/SFMx+ELYUBqwp+UJ5fLz5+mLdupsZQgSkVMgKxfta6glchuFmWeVmpRvgLcMqSUwM2ItAWX7IS&#10;RUvojcnGeX6VtYClQ5DKezq97Zx8kfC1VjI8au1VYKbg1FtIK6Z1E9dsMRezFxSuqmXfhviHLhpR&#10;Wyo6QN2KINgW6zdQTS0RPOhwIaHJQOtaqnQHus0of3WbdSWcSnchcrwbaPL/D1Y+7NZuhURD6/zM&#10;kxlvsdfYxH/qj+0TWYeBLLUPTNLh+Go6uSRKJbkuR5PL8TSSmZ2SHfrwTUHDolHwElq7RIQ28SR2&#10;9z508cc4Sj71kKxwMCq2YewPpVldxqopO8lD3RhkO0EfVkipbBh1rkqUqjue5vTrmxoyUosJMCLr&#10;2pgBuweI0nuL3fXax8dUldQ1JOd/a6xLHjJSZbBhSG5qC/gegKFb9ZW7+CNJHTWRpQ2UhxUyhE7b&#10;3sm7mgi/Fz6sBJKY6RvRgIZHWrSBtuDQW5xVgL/fO4/xpDHyctbScBTc/9oKVJyZ75bU93U0mcRp&#10;SpvJ9POYNnju2Zx77La5AfpMI3oKnExmjA/maGqE5pnmeBmrkktYSbULLgMeNzehG1p6CaRaLlMY&#10;TZAT4d6unYzgkdWopaf9s0DXqy6QXB/gOEhi9kp3XWzMtLDcBtB1EuWJ155vmr4knP6liON9vk9R&#10;p/ds8QcAAP//AwBQSwMEFAAGAAgAAAAhAIjZ4PPgAAAACQEAAA8AAABkcnMvZG93bnJldi54bWxM&#10;j8tOwzAQRfdI/IM1SOyo0wZoEuJUqKJiUQmJULF24iGJ6kew3Sb8fYcVLEdzde855WY2mp3Rh8FZ&#10;ActFAgxt69RgOwGHj91dBixEaZXUzqKAHwywqa6vSlkoN9l3PNexY1RiQyEF9DGOBeeh7dHIsHAj&#10;Wvp9OW9kpNN3XHk5UbnRfJUkj9zIwdJCL0fc9tge65MRsF8fXvEtrafP7W48fuc6aZb+RYjbm/n5&#10;CVjEOf6F4Ref0KEipsadrApMC7jPM3KJAlZ5CowCD2lOLo2AdZYBr0r+36C6AAAA//8DAFBLAQIt&#10;ABQABgAIAAAAIQC2gziS/gAAAOEBAAATAAAAAAAAAAAAAAAAAAAAAABbQ29udGVudF9UeXBlc10u&#10;eG1sUEsBAi0AFAAGAAgAAAAhADj9If/WAAAAlAEAAAsAAAAAAAAAAAAAAAAALwEAAF9yZWxzLy5y&#10;ZWxzUEsBAi0AFAAGAAgAAAAhAMSgX+FeAgAAFwUAAA4AAAAAAAAAAAAAAAAALgIAAGRycy9lMm9E&#10;b2MueG1sUEsBAi0AFAAGAAgAAAAhAIjZ4PPgAAAACQEAAA8AAAAAAAAAAAAAAAAAuAQAAGRycy9k&#10;b3ducmV2LnhtbFBLBQYAAAAABAAEAPMAAADFBQAAAAA=&#10;" adj="12480" fillcolor="#4f81bd [3204]" strokecolor="#243f60 [1604]" strokeweight="2pt"/>
            </w:pict>
          </mc:Fallback>
        </mc:AlternateContent>
      </w:r>
    </w:p>
    <w:p w14:paraId="4429A6B8" w14:textId="193E2D47" w:rsidR="00961462" w:rsidRDefault="00CA30C2">
      <w:pPr>
        <w:spacing w:after="0"/>
        <w:rPr>
          <w:rFonts w:ascii="Arial" w:hAnsi="Arial" w:cs="Arial"/>
        </w:rPr>
      </w:pPr>
      <w:r w:rsidRPr="003B059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20192" behindDoc="0" locked="0" layoutInCell="0" allowOverlap="1" wp14:anchorId="54A11EA4" wp14:editId="217E426F">
                <wp:simplePos x="0" y="0"/>
                <wp:positionH relativeFrom="margin">
                  <wp:posOffset>2976245</wp:posOffset>
                </wp:positionH>
                <wp:positionV relativeFrom="margin">
                  <wp:posOffset>2618105</wp:posOffset>
                </wp:positionV>
                <wp:extent cx="644525" cy="6379845"/>
                <wp:effectExtent l="8890" t="0" r="12065" b="12065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525" cy="6379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3FC43C" w14:textId="77777777" w:rsidR="003B059A" w:rsidRDefault="003B059A" w:rsidP="003B05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5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 CT brain:</w:t>
                            </w:r>
                            <w:r w:rsidRPr="003B05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A98A8F" w14:textId="77777777" w:rsidR="003B059A" w:rsidRDefault="003B059A" w:rsidP="003B05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05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· Intracranial haemorrhage </w:t>
                            </w:r>
                          </w:p>
                          <w:p w14:paraId="7D2DF52D" w14:textId="4458044B" w:rsidR="003B059A" w:rsidRPr="003B059A" w:rsidRDefault="003B059A" w:rsidP="003B059A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05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· Other pathologies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1EA4" id="_x0000_s1031" style="position:absolute;margin-left:234.35pt;margin-top:206.15pt;width:50.75pt;height:502.35pt;rotation:90;z-index:251720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q1LwIAAFMEAAAOAAAAZHJzL2Uyb0RvYy54bWysVNuO2jAQfa/Uf7D8XpJAYJeIsFqx2qrS&#10;9qJu+wHGdohbx+PahoR+fccOC6h9qFSVB4sZe87MOTOT1d3QaXKQziswNS0mOSXScBDK7Gr69cvj&#10;m1tKfGBGMA1G1vQoPb1bv3616m0lp9CCFtIRBDG+6m1N2xBslWWet7JjfgJWGrxswHUsoOl2mXCs&#10;R/ROZ9M8X2Q9OGEdcOk9eh/GS7pO+E0jefjYNF4GomuKtYV0unRu45mtV6zaOWZbxU9lsH+oomPK&#10;YNIz1AMLjOyd+gOqU9yBhyZMOHQZNI3iMnFANkX+G5vnllmZuKA43p5l8v8Pln84PNtPLpbu7RPw&#10;754Y2LTM7OS9c9C3kglMV0Shst766hwQDY+hZNu/B4GtZfsASYOhcR1xgFrPyzz+khe5kiEJfzwL&#10;L4dAODoXZTmfzinheLWY3Sxvy3lKyKqIFYuzzoe3EjoS/9TUwd6Iz9jdBM0OTz4k9QUxrIu1iG+U&#10;NJ3GXh6YJsUsn01PiKfH2QUzkQetxKPSOhlx+uRGO4LBNd3upimN3nfIdPQtE68oCgr38ny0rpG0&#10;+Rt4GEZtEeYSiKAxMgkeNY7j7KswbAeiBMoaqUTPFsQRO5C0xunGPURtWnA/Kelxpmvqf+yZk5To&#10;dwa7uCzKMi5BMsr5zRQNd32zvb5hhiNUTXlwlIzGJoyrs7dO7VrMVSRhDNxj7xsVXoZkrOtEACc3&#10;CXPasrga13Z6dfkWrH8BAAD//wMAUEsDBBQABgAIAAAAIQBBR51D4QAAAAsBAAAPAAAAZHJzL2Rv&#10;d25yZXYueG1sTI/LTsMwEEX3SPyDNUjsqJMCSRPiVAjEgrKi0KpLNxniqPY4ip0HfD3uCpZXc3Tn&#10;3GI9G81G7F1rSUC8iIAhVbZuqRHw+fFyswLmvKRaakso4BsdrMvLi0LmtZ3oHcetb1goIZdLAcr7&#10;LufcVQqNdAvbIYXbl+2N9CH2Da97OYVyo/kyihJuZEvhg5IdPimsTtvBCNBT5vavm/nttPtJx/Sw&#10;wd2zGoS4vpofH4B5nP0fDGf9oA5lcDragWrHdMhpHEgBq+Q2A3YGomUcxhwFZMn9HfCy4P83lL8A&#10;AAD//wMAUEsBAi0AFAAGAAgAAAAhALaDOJL+AAAA4QEAABMAAAAAAAAAAAAAAAAAAAAAAFtDb250&#10;ZW50X1R5cGVzXS54bWxQSwECLQAUAAYACAAAACEAOP0h/9YAAACUAQAACwAAAAAAAAAAAAAAAAAv&#10;AQAAX3JlbHMvLnJlbHNQSwECLQAUAAYACAAAACEAR1uKtS8CAABTBAAADgAAAAAAAAAAAAAAAAAu&#10;AgAAZHJzL2Uyb0RvYy54bWxQSwECLQAUAAYACAAAACEAQUedQ+EAAAALAQAADwAAAAAAAAAAAAAA&#10;AACJBAAAZHJzL2Rvd25yZXYueG1sUEsFBgAAAAAEAAQA8wAAAJcFAAAAAA==&#10;" o:allowincell="f" fillcolor="#ddd8c2 [2894]" strokecolor="black [3213]">
                <v:textbox>
                  <w:txbxContent>
                    <w:p w14:paraId="573FC43C" w14:textId="77777777" w:rsidR="003B059A" w:rsidRDefault="003B059A" w:rsidP="003B059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59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 CT brain:</w:t>
                      </w:r>
                      <w:r w:rsidRPr="003B05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A98A8F" w14:textId="77777777" w:rsidR="003B059A" w:rsidRDefault="003B059A" w:rsidP="003B059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05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· Intracranial haemorrhage </w:t>
                      </w:r>
                    </w:p>
                    <w:p w14:paraId="7D2DF52D" w14:textId="4458044B" w:rsidR="003B059A" w:rsidRPr="003B059A" w:rsidRDefault="003B059A" w:rsidP="003B059A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059A">
                        <w:rPr>
                          <w:rFonts w:ascii="Arial" w:hAnsi="Arial" w:cs="Arial"/>
                          <w:sz w:val="18"/>
                          <w:szCs w:val="18"/>
                        </w:rPr>
                        <w:t>· Other pathologies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3B059A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712000" behindDoc="0" locked="0" layoutInCell="0" allowOverlap="1" wp14:anchorId="59863B8C" wp14:editId="39507FE9">
                <wp:simplePos x="0" y="0"/>
                <wp:positionH relativeFrom="margin">
                  <wp:posOffset>2832735</wp:posOffset>
                </wp:positionH>
                <wp:positionV relativeFrom="margin">
                  <wp:posOffset>1725930</wp:posOffset>
                </wp:positionV>
                <wp:extent cx="920115" cy="6383655"/>
                <wp:effectExtent l="0" t="7620" r="24765" b="2476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0115" cy="6383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DD810E" w14:textId="77777777" w:rsidR="003B059A" w:rsidRPr="00CA30C2" w:rsidRDefault="003B059A" w:rsidP="003B059A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3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 Lab results (if they are available):</w:t>
                            </w:r>
                          </w:p>
                          <w:p w14:paraId="70889C8A" w14:textId="77777777" w:rsidR="003B059A" w:rsidRPr="00CA30C2" w:rsidRDefault="003B059A" w:rsidP="003B059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CA30C2">
                              <w:rPr>
                                <w:sz w:val="18"/>
                                <w:szCs w:val="18"/>
                              </w:rPr>
                              <w:t>· Platelets &lt; 100</w:t>
                            </w:r>
                          </w:p>
                          <w:p w14:paraId="0C4898A7" w14:textId="77777777" w:rsidR="003B059A" w:rsidRPr="00CA30C2" w:rsidRDefault="003B059A" w:rsidP="003B059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CA30C2">
                              <w:rPr>
                                <w:sz w:val="18"/>
                                <w:szCs w:val="18"/>
                              </w:rPr>
                              <w:t xml:space="preserve">· INR &gt; 1.7 </w:t>
                            </w:r>
                          </w:p>
                          <w:p w14:paraId="39044B4F" w14:textId="77777777" w:rsidR="003B059A" w:rsidRPr="00CA30C2" w:rsidRDefault="003B059A" w:rsidP="003B059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CA30C2">
                              <w:rPr>
                                <w:sz w:val="18"/>
                                <w:szCs w:val="18"/>
                              </w:rPr>
                              <w:t>· APTR &gt; 1.2</w:t>
                            </w:r>
                          </w:p>
                          <w:p w14:paraId="40E450B7" w14:textId="58150241" w:rsidR="003B059A" w:rsidRPr="00CA30C2" w:rsidRDefault="003B059A" w:rsidP="003B059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CA30C2">
                              <w:rPr>
                                <w:sz w:val="18"/>
                                <w:szCs w:val="18"/>
                              </w:rPr>
                              <w:t>· Plasma glucose &lt;2.8 or &gt;22.0 mmol/l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63B8C" id="_x0000_s1032" style="position:absolute;margin-left:223.05pt;margin-top:135.9pt;width:72.45pt;height:502.65pt;rotation:90;z-index:251712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rjLQIAAFMEAAAOAAAAZHJzL2Uyb0RvYy54bWysVNtu2zAMfR+wfxD0vtjObY0RpyhSdBjQ&#10;XbBuHyBL8mWTRU2SY2dfX0pOk2B7GDAsD0JIiYc8h6S3t2OnyEFa14IuaDZLKZGag2h1XdBvXx/e&#10;3FDiPNOCKdCyoEfp6O3u9avtYHI5hwaUkJYgiHb5YAraeG/yJHG8kR1zMzBS42UFtmMeTVsnwrIB&#10;0TuVzNN0nQxghbHApXPovZ8u6S7iV5Xk/lNVOemJKijW5uNp41mGM9ltWV5bZpqWn8pg/1BFx1qN&#10;Sc9Q98wz0tv2D6iu5RYcVH7GoUugqlouIwdkk6W/sXlqmJGRC4rjzFkm9/9g+cfDk/lsQ+nOPAL/&#10;4YiGfcN0Le+shaGRTGC6LAiVDMbl54BgOAwl5fABBLaW9R6iBmNlO2IBtV4t0/CLXuRKxij88Sy8&#10;HD3h6Nwg+WxFCcer9eJmsV6tYkKWB6xQnLHOv5PQkfCnoBZ6Lb5gdyM0Ozw6H9UXRLMu1CK+U1J1&#10;Cnt5YIpki3QxPyGeHicXzEgeVCseWqWiEaZP7pUlGFzQsp7HNKrvkOnk20ReQRQU7uX5ZF0jKf03&#10;cD9O2iLMJRBBQ2QUPGgcxtnlfixH0gqUKFAJnhLEETsQtcbpxj1EbRqwvygZcKYL6n72zEpK1HuN&#10;Xdxky2VYgmgsV2/naNjrm/L6hmmOUAXl3lIyGXs/rU5vbFs3mCuLwmi4w95XrX8ZkqmuEwGc3CjM&#10;acvCalzb8dXlW7B7BgAA//8DAFBLAwQUAAYACAAAACEArGvqWeAAAAALAQAADwAAAGRycy9kb3du&#10;cmV2LnhtbEyPy07DMBBF90j8gzVI7KjdCJomxKkQiAVl1UIRSzce4qjxOIqdB3w97gqWV3N059xi&#10;M9uWjdj7xpGE5UIAQ6qcbqiW8P72fLMG5oMirVpHKOEbPWzKy4tC5dpNtMNxH2oWS8jnSoIJocs5&#10;95VBq/zCdUjx9uV6q0KMfc11r6ZYblueCLHiVjUUPxjV4aPB6rQfrIR2yvzHy3Z+PR1+0jH93OLh&#10;yQxSXl/ND/fAAs7hD4azflSHMjod3UDaszbmuyySElKRxE1nQCTLBNhRwvp2lQEvC/5/Q/kLAAD/&#10;/wMAUEsBAi0AFAAGAAgAAAAhALaDOJL+AAAA4QEAABMAAAAAAAAAAAAAAAAAAAAAAFtDb250ZW50&#10;X1R5cGVzXS54bWxQSwECLQAUAAYACAAAACEAOP0h/9YAAACUAQAACwAAAAAAAAAAAAAAAAAvAQAA&#10;X3JlbHMvLnJlbHNQSwECLQAUAAYACAAAACEA5jya4y0CAABTBAAADgAAAAAAAAAAAAAAAAAuAgAA&#10;ZHJzL2Uyb0RvYy54bWxQSwECLQAUAAYACAAAACEArGvqWeAAAAALAQAADwAAAAAAAAAAAAAAAACH&#10;BAAAZHJzL2Rvd25yZXYueG1sUEsFBgAAAAAEAAQA8wAAAJQFAAAAAA==&#10;" o:allowincell="f" fillcolor="#ddd8c2 [2894]" strokecolor="black [3213]">
                <v:textbox>
                  <w:txbxContent>
                    <w:p w14:paraId="50DD810E" w14:textId="77777777" w:rsidR="003B059A" w:rsidRPr="00CA30C2" w:rsidRDefault="003B059A" w:rsidP="003B059A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A30C2">
                        <w:rPr>
                          <w:b/>
                          <w:bCs/>
                          <w:sz w:val="18"/>
                          <w:szCs w:val="18"/>
                        </w:rPr>
                        <w:t>On Lab results (if they are available):</w:t>
                      </w:r>
                    </w:p>
                    <w:p w14:paraId="70889C8A" w14:textId="77777777" w:rsidR="003B059A" w:rsidRPr="00CA30C2" w:rsidRDefault="003B059A" w:rsidP="003B059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CA30C2">
                        <w:rPr>
                          <w:sz w:val="18"/>
                          <w:szCs w:val="18"/>
                        </w:rPr>
                        <w:t>· Platelets &lt; 100</w:t>
                      </w:r>
                    </w:p>
                    <w:p w14:paraId="0C4898A7" w14:textId="77777777" w:rsidR="003B059A" w:rsidRPr="00CA30C2" w:rsidRDefault="003B059A" w:rsidP="003B059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CA30C2">
                        <w:rPr>
                          <w:sz w:val="18"/>
                          <w:szCs w:val="18"/>
                        </w:rPr>
                        <w:t xml:space="preserve">· INR &gt; 1.7 </w:t>
                      </w:r>
                    </w:p>
                    <w:p w14:paraId="39044B4F" w14:textId="77777777" w:rsidR="003B059A" w:rsidRPr="00CA30C2" w:rsidRDefault="003B059A" w:rsidP="003B059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CA30C2">
                        <w:rPr>
                          <w:sz w:val="18"/>
                          <w:szCs w:val="18"/>
                        </w:rPr>
                        <w:t>· APTR &gt; 1.2</w:t>
                      </w:r>
                    </w:p>
                    <w:p w14:paraId="40E450B7" w14:textId="58150241" w:rsidR="003B059A" w:rsidRPr="00CA30C2" w:rsidRDefault="003B059A" w:rsidP="003B059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CA30C2">
                        <w:rPr>
                          <w:sz w:val="18"/>
                          <w:szCs w:val="18"/>
                        </w:rPr>
                        <w:t>· Plasma glucose &lt;2.8 or &gt;22.0 mmol/l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189B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701760" behindDoc="0" locked="0" layoutInCell="0" allowOverlap="1" wp14:anchorId="07F40107" wp14:editId="0B11D524">
                <wp:simplePos x="0" y="0"/>
                <wp:positionH relativeFrom="margin">
                  <wp:posOffset>2707640</wp:posOffset>
                </wp:positionH>
                <wp:positionV relativeFrom="margin">
                  <wp:posOffset>534670</wp:posOffset>
                </wp:positionV>
                <wp:extent cx="1210310" cy="6418580"/>
                <wp:effectExtent l="5715" t="0" r="14605" b="14605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0310" cy="6418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68B15D" w14:textId="77777777" w:rsidR="0073189B" w:rsidRDefault="0073189B" w:rsidP="00731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 initial assessment:</w:t>
                            </w:r>
                          </w:p>
                          <w:p w14:paraId="4F747590" w14:textId="77777777" w:rsidR="0073189B" w:rsidRDefault="0073189B" w:rsidP="00731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· Coma (GCS &lt;8) </w:t>
                            </w:r>
                          </w:p>
                          <w:p w14:paraId="45EEE5CA" w14:textId="3E61F804" w:rsidR="0073189B" w:rsidRDefault="0073189B" w:rsidP="00731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· Severe stroke (NIHSS &gt;25) </w:t>
                            </w:r>
                          </w:p>
                          <w:p w14:paraId="01056304" w14:textId="2F572F0A" w:rsidR="0073189B" w:rsidRDefault="0073189B" w:rsidP="00731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· NIHSS &lt; 4 except isolated disabling symptoms (</w:t>
                            </w:r>
                            <w:r w:rsidR="0034352D"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e.g.,</w:t>
                            </w: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severe dysphasia, homonymous hemianopia) </w:t>
                            </w:r>
                          </w:p>
                          <w:p w14:paraId="0B68611B" w14:textId="77777777" w:rsidR="0073189B" w:rsidRDefault="0073189B" w:rsidP="00731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· Rapidly improving symptoms or signs </w:t>
                            </w:r>
                          </w:p>
                          <w:p w14:paraId="54D8E98F" w14:textId="46B43BD6" w:rsidR="0073189B" w:rsidRPr="0073189B" w:rsidRDefault="0073189B" w:rsidP="0073189B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1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· Capillary blood glucose &lt;2.8 or &gt;22.0 (if hypoglycaemic treat with 20% glucose and reassess; (See hyperglycaemic guidelines on ICID) if hyperglycaemic continue with protocol but await result of lab glucose before treating with rtPA)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40107" id="_x0000_s1033" style="position:absolute;margin-left:213.2pt;margin-top:42.1pt;width:95.3pt;height:505.4pt;rotation:90;z-index:251701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a1MQIAAFQEAAAOAAAAZHJzL2Uyb0RvYy54bWysVNtu2zAMfR+wfxD0vviSpE2NOEWRosOA&#10;7oJ1+wBZki+bLGqSHLv7+lFykgbbw4BheRBCUjziOSS9vZ16RQ7Sug50SbNFSonUHESnm5J+/fLw&#10;ZkOJ80wLpkDLkj5LR293r19tR1PIHFpQQlqCINoVoylp670pksTxVvbMLcBIjcEabM88mrZJhGUj&#10;ovcqydP0KhnBCmOBS+fQez8H6S7i17Xk/mNdO+mJKinW5uNp41mFM9ltWdFYZtqOH8tg/1BFzzqN&#10;j56h7plnZLDdH1B9xy04qP2CQ59AXXdcRg7IJkt/Y/PUMiMjFxTHmbNM7v/B8g+HJ/PJhtKdeQT+&#10;3REN+5bpRt5ZC2MrmcDnsiBUMhpXnBOC4TCVVON7ENhaNniIGky17YkF1Hq9SsMvepErmaLwz2fh&#10;5eQJR2eWZ+kyw/5wjF2tss16E1uTsCKAheqMdf6thJ6EPyW1MGjxGdsbsdnh0fkovyCa9aEY8Y2S&#10;ulfYzANTJFumyzxyYMXxMmKfMCN7UJ146JSKRhg/uVeWYHJJqyaPz6ihR6qz7yYSC6qgcqfrs3WJ&#10;pPTfwP00i4swL4kIGjKj4kHkMM+u8FM1kU6U9DpQCZ4KxDO2IIqN8uEiojYt2J+UjDjUJXU/BmYl&#10;JeqdxjbeZKtV2IJorNbXORr2MlJdRpjmCFVS7i0ls7H38+4MxnZNi29lURgNd9j8uvOnKZnrOhLA&#10;0Y3CHNcs7MalHW+9fAx2vwAAAP//AwBQSwMEFAAGAAgAAAAhAB1U+ZLhAAAACwEAAA8AAABkcnMv&#10;ZG93bnJldi54bWxMj8tOwzAQRfdI/IM1SOyo0xIlTRqnQiAWlBWFoi7deIijxuModh7w9bgr2M3V&#10;HN05U2xn07IRe9dYErBcRMCQKqsaqgV8vD/frYE5L0nJ1hIK+EYH2/L6qpC5shO94bj3NQsl5HIp&#10;QHvf5Zy7SqORbmE7pLD7sr2RPsS+5qqXUyg3LV9FUcKNbChc0LLDR43VeT8YAe2Uuc+X3fx6Pvyk&#10;Y3rc4eFJD0Lc3swPG2AeZ/8Hw0U/qEMZnE52IOVYG3JyH0gBcRaH4QJEq3QJ7CQgWccZ8LLg/38o&#10;fwEAAP//AwBQSwECLQAUAAYACAAAACEAtoM4kv4AAADhAQAAEwAAAAAAAAAAAAAAAAAAAAAAW0Nv&#10;bnRlbnRfVHlwZXNdLnhtbFBLAQItABQABgAIAAAAIQA4/SH/1gAAAJQBAAALAAAAAAAAAAAAAAAA&#10;AC8BAABfcmVscy8ucmVsc1BLAQItABQABgAIAAAAIQCy4Ta1MQIAAFQEAAAOAAAAAAAAAAAAAAAA&#10;AC4CAABkcnMvZTJvRG9jLnhtbFBLAQItABQABgAIAAAAIQAdVPmS4QAAAAsBAAAPAAAAAAAAAAAA&#10;AAAAAIsEAABkcnMvZG93bnJldi54bWxQSwUGAAAAAAQABADzAAAAmQUAAAAA&#10;" o:allowincell="f" fillcolor="#ddd8c2 [2894]" strokecolor="black [3213]">
                <v:textbox>
                  <w:txbxContent>
                    <w:p w14:paraId="4C68B15D" w14:textId="77777777" w:rsidR="0073189B" w:rsidRDefault="0073189B" w:rsidP="00731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 initial assessment:</w:t>
                      </w:r>
                    </w:p>
                    <w:p w14:paraId="4F747590" w14:textId="77777777" w:rsidR="0073189B" w:rsidRDefault="0073189B" w:rsidP="007318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· Coma (GCS &lt;8) </w:t>
                      </w:r>
                    </w:p>
                    <w:p w14:paraId="45EEE5CA" w14:textId="3E61F804" w:rsidR="0073189B" w:rsidRDefault="0073189B" w:rsidP="007318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· Severe stroke (NIHSS &gt;25) </w:t>
                      </w:r>
                    </w:p>
                    <w:p w14:paraId="01056304" w14:textId="2F572F0A" w:rsidR="0073189B" w:rsidRDefault="0073189B" w:rsidP="007318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>· NIHSS &lt; 4 except isolated disabling symptoms (</w:t>
                      </w:r>
                      <w:r w:rsidR="0034352D"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>e.g.,</w:t>
                      </w: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severe dysphasia, homonymous hemianopia) </w:t>
                      </w:r>
                    </w:p>
                    <w:p w14:paraId="0B68611B" w14:textId="77777777" w:rsidR="0073189B" w:rsidRDefault="0073189B" w:rsidP="007318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· Rapidly improving symptoms or signs </w:t>
                      </w:r>
                    </w:p>
                    <w:p w14:paraId="54D8E98F" w14:textId="46B43BD6" w:rsidR="0073189B" w:rsidRPr="0073189B" w:rsidRDefault="0073189B" w:rsidP="0073189B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189B">
                        <w:rPr>
                          <w:rFonts w:ascii="Arial" w:hAnsi="Arial" w:cs="Arial"/>
                          <w:sz w:val="18"/>
                          <w:szCs w:val="18"/>
                        </w:rPr>
                        <w:t>· Capillary blood glucose &lt;2.8 or &gt;22.0 (if hypoglycaemic treat with 20% glucose and reassess; (See hyperglycaemic guidelines on ICID) if hyperglycaemic continue with protocol but await result of lab glucose before treating with rtPA)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189B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691520" behindDoc="0" locked="0" layoutInCell="0" allowOverlap="1" wp14:anchorId="0AF1306A" wp14:editId="7E940A2E">
                <wp:simplePos x="0" y="0"/>
                <wp:positionH relativeFrom="margin">
                  <wp:posOffset>2056130</wp:posOffset>
                </wp:positionH>
                <wp:positionV relativeFrom="margin">
                  <wp:posOffset>-1454785</wp:posOffset>
                </wp:positionV>
                <wp:extent cx="2513965" cy="6465570"/>
                <wp:effectExtent l="5398" t="0" r="25082" b="25083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13965" cy="6465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7FB505" w14:textId="77777777" w:rsidR="0073189B" w:rsidRDefault="0073189B" w:rsidP="0073189B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From the history:</w:t>
                            </w:r>
                          </w:p>
                          <w:p w14:paraId="3688152D" w14:textId="77777777" w:rsidR="0073189B" w:rsidRDefault="0073189B" w:rsidP="0073189B">
                            <w:pPr>
                              <w:pStyle w:val="Defaul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Absolute contraindications:</w:t>
                            </w:r>
                          </w:p>
                          <w:p w14:paraId="48F9E7B3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Active internal bleeding </w:t>
                            </w:r>
                          </w:p>
                          <w:p w14:paraId="03DD8EEC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Major surgery or serious trauma within last 14 days </w:t>
                            </w:r>
                          </w:p>
                          <w:p w14:paraId="2D3CF8E0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Clinical diagnosis of subarachnoid haemorrhage even if CT normal</w:t>
                            </w:r>
                          </w:p>
                          <w:p w14:paraId="6A471AA4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Treatment dose low molecular weight Heparin within 24 hours</w:t>
                            </w:r>
                          </w:p>
                          <w:p w14:paraId="5CE5D229" w14:textId="77777777" w:rsidR="0073189B" w:rsidRDefault="0073189B" w:rsidP="0073189B">
                            <w:pPr>
                              <w:pStyle w:val="Defaul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Relative contraindications (please discuss with a senior clinician):</w:t>
                            </w:r>
                          </w:p>
                          <w:p w14:paraId="1052C289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Recent CVA, head injury or cranial surgery (within 3 months) </w:t>
                            </w:r>
                          </w:p>
                          <w:p w14:paraId="104F5ED5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Seizure at stroke onset </w:t>
                            </w:r>
                          </w:p>
                          <w:p w14:paraId="2550F76B" w14:textId="5BEB84C3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Any history of intracranial haemorrhage, brain tumour, intracranial </w:t>
                            </w:r>
                            <w:r w:rsidR="0034352D">
                              <w:rPr>
                                <w:sz w:val="20"/>
                                <w:szCs w:val="20"/>
                              </w:rPr>
                              <w:t>AVM,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aneurysm </w:t>
                            </w:r>
                          </w:p>
                          <w:p w14:paraId="179B3DC3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Recent (&lt; 48 hours) lumbar puncture or (&lt;1 week) arterial/venous puncture at non-compressible site</w:t>
                            </w:r>
                          </w:p>
                          <w:p w14:paraId="03DC6DAB" w14:textId="7777777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Pregnancy – see notes below </w:t>
                            </w:r>
                          </w:p>
                          <w:p w14:paraId="30142DF5" w14:textId="72900BE7" w:rsidR="0073189B" w:rsidRDefault="0073189B" w:rsidP="0073189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N.B. Current warfarin treatment is not an exclusion if the INR is less than or equal to </w:t>
                            </w:r>
                            <w:r w:rsidR="0034352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1.7.</w:t>
                            </w:r>
                          </w:p>
                          <w:p w14:paraId="0AF1B5A2" w14:textId="6F654F96" w:rsidR="0073189B" w:rsidRPr="0073189B" w:rsidRDefault="0073189B" w:rsidP="0073189B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1306A" id="_x0000_s1034" style="position:absolute;margin-left:161.9pt;margin-top:-114.55pt;width:197.95pt;height:509.1pt;rotation:90;z-index:251691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SSMgIAAFQEAAAOAAAAZHJzL2Uyb0RvYy54bWysVNtu2zAMfR+wfxD0vjhO4rQx4hRFig4D&#10;ugvW7QNkSb5ssqhJcuzs60fJSRpsDwOG5UEISfGI55D09m7sFDlI61rQBU1nc0qk5iBaXRf065fH&#10;N7eUOM+0YAq0LOhROnq3e/1qO5hcLqABJaQlCKJdPpiCNt6bPEkcb2TH3AyM1BiswHbMo2nrRFg2&#10;IHqnksV8vk4GsMJY4NI59D5MQbqL+FUluf9YVU56ogqKtfl42niW4Ux2W5bXlpmm5acy2D9U0bFW&#10;46MXqAfmGelt+wdU13ILDio/49AlUFUtl5EDsknnv7F5bpiRkQuK48xFJvf/YPmHw7P5ZEPpzjwB&#10;/+6Ihn3DdC3vrYWhkUzgc2kQKhmMyy8JwXCYSsrhPQhsLes9RA3GynbEAmqdrebhF73IlYxR+ONF&#10;eDl6wtG5yNLlZp1RwjG2Xq2z7Ca2JmF5AAvVGev8WwkdCX8KaqHX4jO2N2Kzw5PzUX5BNOtCMeIb&#10;JVWnsJkHpki6nC8XkQPLT5cR+4wZ2YNqxWOrVDTC+Mm9sgSTC1rWi/iM6jukOvk2kVhQBZU7X5+s&#10;aySl/wbux0lchHlJRNCQGRUPIod5drkfy5G0oqC3gUrwlCCO2IIoNo43LiJq04D9ScmAQ11Q96Nn&#10;VlKi3mls4yZdrcIWRGOV3SzQsNeR8jrCNEeognJvKZmMvZ92pze2rRt8K43CaLjH5letP0/JVNeJ&#10;AI5uFOa0ZmE3ru146+VjsPsFAAD//wMAUEsDBBQABgAIAAAAIQCuw11E3wAAAAoBAAAPAAAAZHJz&#10;L2Rvd25yZXYueG1sTI/LTsMwFET3SPyDdZHYUZuAcBPiVAjEgrJqoVWXbnyJo/oRxc4Dvh53BcvR&#10;jGbOlKvZGjJiH1rvBNwuGBB0tVetawR8frzeLIGEKJ2SxjsU8I0BVtXlRSkL5Se3wXEbG5JKXCik&#10;AB1jV1Aaao1WhoXv0CXvy/dWxiT7hqpeTqncGpox9kCtbF1a0LLDZ431aTtYAWbKw/5tPb+fdj98&#10;5Ic17l70IMT11fz0CCTiHP/CcMZP6FAlpqMfnArEJJ3xlBSwzNKls8/uWA7kKOCe8xxoVdL/F6pf&#10;AAAA//8DAFBLAQItABQABgAIAAAAIQC2gziS/gAAAOEBAAATAAAAAAAAAAAAAAAAAAAAAABbQ29u&#10;dGVudF9UeXBlc10ueG1sUEsBAi0AFAAGAAgAAAAhADj9If/WAAAAlAEAAAsAAAAAAAAAAAAAAAAA&#10;LwEAAF9yZWxzLy5yZWxzUEsBAi0AFAAGAAgAAAAhAGQXNJIyAgAAVAQAAA4AAAAAAAAAAAAAAAAA&#10;LgIAAGRycy9lMm9Eb2MueG1sUEsBAi0AFAAGAAgAAAAhAK7DXUTfAAAACgEAAA8AAAAAAAAAAAAA&#10;AAAAjAQAAGRycy9kb3ducmV2LnhtbFBLBQYAAAAABAAEAPMAAACYBQAAAAA=&#10;" o:allowincell="f" fillcolor="#ddd8c2 [2894]" strokecolor="black [3213]">
                <v:textbox>
                  <w:txbxContent>
                    <w:p w14:paraId="1E7FB505" w14:textId="77777777" w:rsidR="0073189B" w:rsidRDefault="0073189B" w:rsidP="0073189B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From the history:</w:t>
                      </w:r>
                    </w:p>
                    <w:p w14:paraId="3688152D" w14:textId="77777777" w:rsidR="0073189B" w:rsidRDefault="0073189B" w:rsidP="0073189B">
                      <w:pPr>
                        <w:pStyle w:val="Defaul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Absolute contraindications:</w:t>
                      </w:r>
                    </w:p>
                    <w:p w14:paraId="48F9E7B3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Active internal bleeding </w:t>
                      </w:r>
                    </w:p>
                    <w:p w14:paraId="03DD8EEC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Major surgery or serious trauma within last 14 days </w:t>
                      </w:r>
                    </w:p>
                    <w:p w14:paraId="2D3CF8E0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>Clinical diagnosis of subarachnoid haemorrhage even if CT normal</w:t>
                      </w:r>
                    </w:p>
                    <w:p w14:paraId="6A471AA4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>Treatment dose low molecular weight Heparin within 24 hours</w:t>
                      </w:r>
                    </w:p>
                    <w:p w14:paraId="5CE5D229" w14:textId="77777777" w:rsidR="0073189B" w:rsidRDefault="0073189B" w:rsidP="0073189B">
                      <w:pPr>
                        <w:pStyle w:val="Defaul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Relative contraindications (please discuss with a senior clinician):</w:t>
                      </w:r>
                    </w:p>
                    <w:p w14:paraId="1052C289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Recent CVA, head injury or cranial surgery (within 3 months) </w:t>
                      </w:r>
                    </w:p>
                    <w:p w14:paraId="104F5ED5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Seizure at stroke onset </w:t>
                      </w:r>
                    </w:p>
                    <w:p w14:paraId="2550F76B" w14:textId="5BEB84C3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Any history of intracranial haemorrhage, brain tumour, intracranial </w:t>
                      </w:r>
                      <w:r w:rsidR="0034352D">
                        <w:rPr>
                          <w:sz w:val="20"/>
                          <w:szCs w:val="20"/>
                        </w:rPr>
                        <w:t>AVM,</w:t>
                      </w:r>
                      <w:r>
                        <w:rPr>
                          <w:sz w:val="20"/>
                          <w:szCs w:val="20"/>
                        </w:rPr>
                        <w:t xml:space="preserve"> or aneurysm </w:t>
                      </w:r>
                    </w:p>
                    <w:p w14:paraId="179B3DC3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>Recent (&lt; 48 hours) lumbar puncture or (&lt;1 week) arterial/venous puncture at non-compressible site</w:t>
                      </w:r>
                    </w:p>
                    <w:p w14:paraId="03DC6DAB" w14:textId="7777777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· </w:t>
                      </w:r>
                      <w:r>
                        <w:rPr>
                          <w:sz w:val="20"/>
                          <w:szCs w:val="20"/>
                        </w:rPr>
                        <w:t xml:space="preserve">Pregnancy – see notes below </w:t>
                      </w:r>
                    </w:p>
                    <w:p w14:paraId="30142DF5" w14:textId="72900BE7" w:rsidR="0073189B" w:rsidRDefault="0073189B" w:rsidP="0073189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N.B. Current warfarin treatment is not an exclusion if the INR is less than or equal to </w:t>
                      </w:r>
                      <w:r w:rsidR="0034352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1.7.</w:t>
                      </w:r>
                    </w:p>
                    <w:p w14:paraId="0AF1B5A2" w14:textId="6F654F96" w:rsidR="0073189B" w:rsidRPr="0073189B" w:rsidRDefault="0073189B" w:rsidP="0073189B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599D31" w14:textId="3F50C90F" w:rsidR="00961462" w:rsidRDefault="00961462">
      <w:pPr>
        <w:spacing w:after="0"/>
        <w:rPr>
          <w:rFonts w:ascii="Arial" w:hAnsi="Arial" w:cs="Arial"/>
        </w:rPr>
      </w:pPr>
      <w:r w:rsidRPr="00961462">
        <w:rPr>
          <w:rFonts w:ascii="Arial" w:hAnsi="Arial" w:cs="Arial"/>
          <w:noProof/>
        </w:rPr>
        <mc:AlternateContent>
          <mc:Choice Requires="wps">
            <w:drawing>
              <wp:anchor distT="91440" distB="91440" distL="137160" distR="137160" simplePos="0" relativeHeight="251734528" behindDoc="0" locked="0" layoutInCell="0" allowOverlap="1" wp14:anchorId="0F99E48E" wp14:editId="3E5ABD5F">
                <wp:simplePos x="0" y="0"/>
                <wp:positionH relativeFrom="margin">
                  <wp:posOffset>3112135</wp:posOffset>
                </wp:positionH>
                <wp:positionV relativeFrom="margin">
                  <wp:posOffset>-3152140</wp:posOffset>
                </wp:positionV>
                <wp:extent cx="387350" cy="6466205"/>
                <wp:effectExtent l="8572" t="0" r="21273" b="21272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7350" cy="6466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ACB76E" w14:textId="13934E52" w:rsidR="00961462" w:rsidRPr="0073189B" w:rsidRDefault="0073189B" w:rsidP="0073189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8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CLINICAL EXCLUSIONS FROM THROMBOLYSIS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E48E" id="_x0000_s1035" style="position:absolute;margin-left:245.05pt;margin-top:-248.2pt;width:30.5pt;height:509.15pt;rotation:90;z-index:251734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6FLgIAAFMEAAAOAAAAZHJzL2Uyb0RvYy54bWysVNtu2zAMfR+wfxD0vviSSxsjTlGk6DCg&#10;u2DdPkCR5Msmi5okx86+fpScJsH2MGBYHoSQFA95DkVv7sZOkYO0rgVd0myWUiI1B9HquqRfvzy+&#10;uaXEeaYFU6BlSY/S0bvt61ebwRQyhwaUkJYgiHbFYEraeG+KJHG8kR1zMzBSY7AC2zGPpq0TYdmA&#10;6J1K8jRdJQNYYSxw6Rx6H6Yg3Ub8qpLcf6wqJz1RJcXefDxtPPfhTLYbVtSWmablpzbYP3TRsVZj&#10;0TPUA/OM9Lb9A6pruQUHlZ9x6BKoqpbLyAHZZOlvbJ4bZmTkguI4c5bJ/T9Y/uHwbD7Z0LozT8C/&#10;O6Jh1zBdy3trYWgkE1guC0Ilg3HFOSEYDlPJfngPAkfLeg9Rg7GyHbGAWi8XafhFL3IlYxT+eBZe&#10;jp5wdM5vb+ZLHA/H0GqxWuXpMhZkRcAKzRnr/FsJHQl/Smqh1+IzTjdCs8OT81F9QTTrQi/iGyVV&#10;p3CWB6ZINk/n+QnxdDm5YEbyoFrx2CoVjfD65E5Zgskl3dd5LKP6DplOvnXkFURB4V6uT9Y1ktJ/&#10;A/fjpC3CXBIRNGRGwYPG4Tm7wo/7kbSipOtAJXj2II44gag1yod7iNo0YH9SMuCbLqn70TMrKVHv&#10;NE5xnS0WYQmisVje5GjY68j+OsI0R6iScm8pmYydn1anN7atG6yVRWE03OPsq9a/PJKprxMBfLlR&#10;mNOWhdW4tuOty7dg+wsAAP//AwBQSwMEFAAGAAgAAAAhAA4iDWngAAAACgEAAA8AAABkcnMvZG93&#10;bnJldi54bWxMj8tOwzAQRfdI/IM1SOxaJ21FaIhTIRALyopCqy7deIij+hHFzgO+nukKdnM1R3fO&#10;FJvJGjZgFxrvBKTzBBi6yqvG1QI+P15m98BClE5J4x0K+MYAm/L6qpC58qN7x2EXa0YlLuRSgI6x&#10;zTkPlUYrw9y36Gj35TsrI8Wu5qqTI5VbwxdJcsetbBxd0LLFJ43VeddbAWZch8Prdno773+yITtu&#10;cf+seyFub6bHB2ARp/gHw0Wf1KEkp5PvnQrMUE5XRAqYpVkG7AIkizVNJwGr5RJ4WfD/L5S/AAAA&#10;//8DAFBLAQItABQABgAIAAAAIQC2gziS/gAAAOEBAAATAAAAAAAAAAAAAAAAAAAAAABbQ29udGVu&#10;dF9UeXBlc10ueG1sUEsBAi0AFAAGAAgAAAAhADj9If/WAAAAlAEAAAsAAAAAAAAAAAAAAAAALwEA&#10;AF9yZWxzLy5yZWxzUEsBAi0AFAAGAAgAAAAhAGNkLoUuAgAAUwQAAA4AAAAAAAAAAAAAAAAALgIA&#10;AGRycy9lMm9Eb2MueG1sUEsBAi0AFAAGAAgAAAAhAA4iDWngAAAACgEAAA8AAAAAAAAAAAAAAAAA&#10;iAQAAGRycy9kb3ducmV2LnhtbFBLBQYAAAAABAAEAPMAAACVBQAAAAA=&#10;" o:allowincell="f" fillcolor="#ddd8c2 [2894]" strokecolor="black [3213]">
                <v:textbox>
                  <w:txbxContent>
                    <w:p w14:paraId="7DACB76E" w14:textId="13934E52" w:rsidR="00961462" w:rsidRPr="0073189B" w:rsidRDefault="0073189B" w:rsidP="0073189B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89B">
                        <w:rPr>
                          <w:b/>
                          <w:bCs/>
                          <w:sz w:val="22"/>
                          <w:szCs w:val="22"/>
                        </w:rPr>
                        <w:t>CLINICAL EXCLUSIONS FROM THROMBOLYSIS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137AA6B" w14:textId="77777777" w:rsidR="003B059A" w:rsidRDefault="003B059A" w:rsidP="003B059A">
      <w:pPr>
        <w:pStyle w:val="Default"/>
      </w:pPr>
    </w:p>
    <w:p w14:paraId="7BC8BFF6" w14:textId="77777777" w:rsidR="003B059A" w:rsidRDefault="003B059A" w:rsidP="003B059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</w:t>
      </w:r>
    </w:p>
    <w:p w14:paraId="6EA1B7E4" w14:textId="77777777" w:rsidR="003B059A" w:rsidRDefault="003B059A" w:rsidP="003B059A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Thrombolysis in pregnancy:</w:t>
      </w:r>
      <w:r>
        <w:rPr>
          <w:sz w:val="20"/>
          <w:szCs w:val="20"/>
        </w:rPr>
        <w:t xml:space="preserve"> </w:t>
      </w:r>
    </w:p>
    <w:p w14:paraId="344636F0" w14:textId="0E1B786F" w:rsidR="00961462" w:rsidRDefault="003B059A" w:rsidP="003B059A">
      <w:pPr>
        <w:spacing w:after="0"/>
        <w:rPr>
          <w:rFonts w:ascii="Arial" w:hAnsi="Arial" w:cs="Arial"/>
        </w:rPr>
      </w:pPr>
      <w:r>
        <w:rPr>
          <w:sz w:val="20"/>
          <w:szCs w:val="20"/>
        </w:rPr>
        <w:t xml:space="preserve">It is very difficult to give clear guidance on </w:t>
      </w:r>
      <w:r w:rsidR="00072BA2">
        <w:rPr>
          <w:sz w:val="20"/>
          <w:szCs w:val="20"/>
        </w:rPr>
        <w:t>thrombolysis (</w:t>
      </w:r>
      <w:r>
        <w:rPr>
          <w:sz w:val="20"/>
          <w:szCs w:val="20"/>
        </w:rPr>
        <w:t>TL</w:t>
      </w:r>
      <w:r w:rsidR="00072BA2">
        <w:rPr>
          <w:sz w:val="20"/>
          <w:szCs w:val="20"/>
        </w:rPr>
        <w:t>)</w:t>
      </w:r>
      <w:r>
        <w:rPr>
          <w:sz w:val="20"/>
          <w:szCs w:val="20"/>
        </w:rPr>
        <w:t xml:space="preserve"> in pregnancy as this will be both a very rare clinical situation and one with very little evidence or RCT data to guide decision making. Each case will need to be assessed on an individual risk/benefit basis by an expert in the delivery of thrombolysis in stroke. The sparse evidence that does exist suggests that TL in acute ischemic stroke in pregnancy probably carries a higher than usual risk of symptomatic intra cerebral haemorrhage in the mother in the order of 10%.TL given for </w:t>
      </w:r>
      <w:r w:rsidR="00DD1B98">
        <w:rPr>
          <w:sz w:val="20"/>
          <w:szCs w:val="20"/>
        </w:rPr>
        <w:t>a few</w:t>
      </w:r>
      <w:r>
        <w:rPr>
          <w:sz w:val="20"/>
          <w:szCs w:val="20"/>
        </w:rPr>
        <w:t xml:space="preserve"> conditions including pulmonary embolism and stroke carries a risk of significant bleeding such as major uterine hematoma in the order of 8%. Foetal safety remains unproven. Anecdotal cases of successful resolution of maternal stroke post TL have been recorded in both the first trimester and the immediate post-partum period</w:t>
      </w:r>
      <w:r>
        <w:rPr>
          <w:i/>
          <w:iCs/>
          <w:sz w:val="20"/>
          <w:szCs w:val="20"/>
        </w:rPr>
        <w:t>.</w:t>
      </w:r>
    </w:p>
    <w:p w14:paraId="61D1BF20" w14:textId="5F4D8CA2" w:rsidR="00961462" w:rsidRDefault="00961462">
      <w:pPr>
        <w:spacing w:after="0"/>
        <w:rPr>
          <w:rFonts w:ascii="Arial" w:hAnsi="Arial" w:cs="Arial"/>
        </w:rPr>
      </w:pPr>
    </w:p>
    <w:p w14:paraId="386CA6C1" w14:textId="2EC7B3AE" w:rsidR="00961462" w:rsidRDefault="00961462">
      <w:pPr>
        <w:spacing w:after="0"/>
        <w:rPr>
          <w:rFonts w:ascii="Arial" w:hAnsi="Arial" w:cs="Arial"/>
        </w:rPr>
      </w:pPr>
    </w:p>
    <w:p w14:paraId="0BBD1AB4" w14:textId="0E234991" w:rsidR="00961462" w:rsidRDefault="00961462">
      <w:pPr>
        <w:spacing w:after="0"/>
        <w:rPr>
          <w:rFonts w:ascii="Arial" w:hAnsi="Arial" w:cs="Arial"/>
        </w:rPr>
      </w:pPr>
    </w:p>
    <w:p w14:paraId="14EDA648" w14:textId="5ACAB9D9" w:rsidR="00961462" w:rsidRDefault="00961462">
      <w:pPr>
        <w:spacing w:after="0"/>
        <w:rPr>
          <w:rFonts w:ascii="Arial" w:hAnsi="Arial" w:cs="Arial"/>
        </w:rPr>
      </w:pPr>
    </w:p>
    <w:p w14:paraId="2CE20632" w14:textId="09D97825" w:rsidR="00961462" w:rsidRDefault="00961462">
      <w:pPr>
        <w:spacing w:after="0"/>
        <w:rPr>
          <w:rFonts w:ascii="Arial" w:hAnsi="Arial" w:cs="Arial"/>
        </w:rPr>
      </w:pPr>
    </w:p>
    <w:p w14:paraId="221C260C" w14:textId="77777777" w:rsidR="00CA30C2" w:rsidRDefault="00CA30C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ACFEA31" w14:textId="2CEC50C2" w:rsidR="00961462" w:rsidRPr="00CA30C2" w:rsidRDefault="00AE4B82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Page 2 of 6</w:t>
      </w:r>
      <w:bookmarkStart w:id="1" w:name="_Hlk160702539"/>
      <w:r w:rsidR="00DD1B98">
        <w:rPr>
          <w:rFonts w:ascii="Arial" w:hAnsi="Arial" w:cs="Arial"/>
          <w:b/>
          <w:bCs/>
          <w:sz w:val="18"/>
          <w:szCs w:val="18"/>
        </w:rPr>
        <w:t>, Version 3, Dr T Black 03/24</w:t>
      </w:r>
      <w:bookmarkEnd w:id="1"/>
    </w:p>
    <w:p w14:paraId="1ED21F59" w14:textId="77777777" w:rsidR="00CA30C2" w:rsidRDefault="00CA30C2">
      <w:pPr>
        <w:spacing w:after="0"/>
        <w:rPr>
          <w:noProof/>
        </w:rPr>
      </w:pPr>
    </w:p>
    <w:p w14:paraId="5F1DB17B" w14:textId="3C8781E0" w:rsidR="00CA30C2" w:rsidRDefault="00CA30C2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8E4777" wp14:editId="51A3D68E">
            <wp:extent cx="6648450" cy="8864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AF1F" w14:textId="77777777" w:rsidR="00CA30C2" w:rsidRDefault="00CA30C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A8EBC59" w14:textId="77777777" w:rsidR="00CA30C2" w:rsidRDefault="00CA30C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6A8693F" w14:textId="77777777" w:rsidR="00CA30C2" w:rsidRDefault="00CA30C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93A7952" w14:textId="05DA3CEE" w:rsidR="00217988" w:rsidRDefault="00AE4B82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Page 3 of 6</w:t>
      </w:r>
      <w:r w:rsidR="00DD1B98">
        <w:rPr>
          <w:rFonts w:ascii="Arial" w:hAnsi="Arial" w:cs="Arial"/>
          <w:b/>
          <w:bCs/>
          <w:sz w:val="18"/>
          <w:szCs w:val="18"/>
        </w:rPr>
        <w:t>, Version 3, Dr T Black 03/24</w:t>
      </w:r>
    </w:p>
    <w:p w14:paraId="2331F71D" w14:textId="77777777" w:rsidR="00217988" w:rsidRPr="00AE4B82" w:rsidRDefault="0021798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51865D8" w14:textId="6270A4BF" w:rsidR="00607392" w:rsidRPr="00607392" w:rsidRDefault="00217988" w:rsidP="0060739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4E191C" wp14:editId="5AB9DC98">
            <wp:extent cx="6563360" cy="419100"/>
            <wp:effectExtent l="19050" t="19050" r="2794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1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5ECD8" w14:textId="4A4C8349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color w:val="000000"/>
        </w:rPr>
        <w:t xml:space="preserve">Unless the patient or companion knows their recent weight, estimate it to the nearest 5 </w:t>
      </w:r>
      <w:r w:rsidR="0034352D" w:rsidRPr="00607392">
        <w:rPr>
          <w:rFonts w:ascii="Arial" w:hAnsi="Arial" w:cs="Arial"/>
          <w:color w:val="000000"/>
        </w:rPr>
        <w:t>kg.</w:t>
      </w:r>
    </w:p>
    <w:p w14:paraId="7F518DB8" w14:textId="6009D3F0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color w:val="000000"/>
        </w:rPr>
        <w:t xml:space="preserve">The total dose of rt-PA is 0.9 mg/kg or 90 mg, whichever is </w:t>
      </w:r>
      <w:r w:rsidR="0034352D" w:rsidRPr="00607392">
        <w:rPr>
          <w:rFonts w:ascii="Arial" w:hAnsi="Arial" w:cs="Arial"/>
          <w:color w:val="000000"/>
        </w:rPr>
        <w:t>lower.</w:t>
      </w:r>
    </w:p>
    <w:p w14:paraId="5B0A1046" w14:textId="58E702A9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/>
        </w:rPr>
      </w:pPr>
      <w:r w:rsidRPr="00607392">
        <w:rPr>
          <w:rFonts w:ascii="Arial" w:hAnsi="Arial" w:cs="Arial"/>
          <w:color w:val="000000"/>
        </w:rPr>
        <w:t xml:space="preserve">When the decision to treat has been made </w:t>
      </w:r>
      <w:r w:rsidRPr="00607392">
        <w:rPr>
          <w:rFonts w:ascii="Arial" w:hAnsi="Arial" w:cs="Arial"/>
          <w:b/>
          <w:bCs/>
          <w:color w:val="000000"/>
        </w:rPr>
        <w:t xml:space="preserve">do not </w:t>
      </w:r>
      <w:r w:rsidR="0034352D" w:rsidRPr="00607392">
        <w:rPr>
          <w:rFonts w:ascii="Arial" w:hAnsi="Arial" w:cs="Arial"/>
          <w:b/>
          <w:bCs/>
          <w:color w:val="000000"/>
        </w:rPr>
        <w:t>delay.</w:t>
      </w:r>
      <w:r w:rsidRPr="00607392">
        <w:rPr>
          <w:rFonts w:ascii="Arial" w:hAnsi="Arial" w:cs="Arial"/>
          <w:b/>
          <w:bCs/>
          <w:color w:val="000000"/>
        </w:rPr>
        <w:t xml:space="preserve"> </w:t>
      </w:r>
    </w:p>
    <w:p w14:paraId="46EF5D2A" w14:textId="3A2F8F10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color w:val="000000"/>
        </w:rPr>
        <w:t>Make up one or two vials of rt-PA using the 50 ml diluent in each drug pack, making a solution of 1 mg/ml rt-</w:t>
      </w:r>
      <w:r w:rsidR="0034352D" w:rsidRPr="00607392">
        <w:rPr>
          <w:rFonts w:ascii="Arial" w:hAnsi="Arial" w:cs="Arial"/>
          <w:color w:val="000000"/>
        </w:rPr>
        <w:t>PA.</w:t>
      </w:r>
    </w:p>
    <w:p w14:paraId="13221D85" w14:textId="0438CC32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color w:val="000000"/>
        </w:rPr>
        <w:t xml:space="preserve">Draw up and give 10% as a bolus over 1-2 minutes using a 10 ml </w:t>
      </w:r>
      <w:r w:rsidR="0034352D" w:rsidRPr="00607392">
        <w:rPr>
          <w:rFonts w:ascii="Arial" w:hAnsi="Arial" w:cs="Arial"/>
          <w:color w:val="000000"/>
        </w:rPr>
        <w:t>syringe.</w:t>
      </w:r>
    </w:p>
    <w:p w14:paraId="25824667" w14:textId="612C7F62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color w:val="000000"/>
        </w:rPr>
        <w:t xml:space="preserve">Draw up the remaining 90% (the ‘infusion dose’) into one or two 50 ml syringes and set up the syringe pump with the corresponding infusion rate in mls/hr. Doses above 50 mls will need a change of syringe at some point within the hour’s </w:t>
      </w:r>
      <w:r w:rsidR="0034352D" w:rsidRPr="00607392">
        <w:rPr>
          <w:rFonts w:ascii="Arial" w:hAnsi="Arial" w:cs="Arial"/>
          <w:color w:val="000000"/>
        </w:rPr>
        <w:t>infusion.</w:t>
      </w:r>
    </w:p>
    <w:p w14:paraId="00F3BE9F" w14:textId="10515D53" w:rsidR="0060739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607392">
        <w:rPr>
          <w:rFonts w:ascii="Arial" w:hAnsi="Arial" w:cs="Arial"/>
          <w:b/>
          <w:bCs/>
          <w:color w:val="000000"/>
        </w:rPr>
        <w:t xml:space="preserve">Do not </w:t>
      </w:r>
      <w:r w:rsidRPr="00607392">
        <w:rPr>
          <w:rFonts w:ascii="Arial" w:hAnsi="Arial" w:cs="Arial"/>
          <w:color w:val="000000"/>
        </w:rPr>
        <w:t xml:space="preserve">give the cardiac </w:t>
      </w:r>
      <w:r w:rsidR="0034352D" w:rsidRPr="00607392">
        <w:rPr>
          <w:rFonts w:ascii="Arial" w:hAnsi="Arial" w:cs="Arial"/>
          <w:color w:val="000000"/>
        </w:rPr>
        <w:t>dose.</w:t>
      </w:r>
    </w:p>
    <w:p w14:paraId="2F7C7B9C" w14:textId="0619527D" w:rsidR="00961462" w:rsidRPr="00607392" w:rsidRDefault="00607392" w:rsidP="006073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07392">
        <w:rPr>
          <w:rFonts w:ascii="Arial" w:hAnsi="Arial" w:cs="Arial"/>
          <w:b/>
          <w:bCs/>
          <w:color w:val="000000"/>
        </w:rPr>
        <w:t xml:space="preserve">Do not </w:t>
      </w:r>
      <w:r w:rsidRPr="00607392">
        <w:rPr>
          <w:rFonts w:ascii="Arial" w:hAnsi="Arial" w:cs="Arial"/>
          <w:color w:val="000000"/>
        </w:rPr>
        <w:t>give more than 90 mg.</w:t>
      </w:r>
    </w:p>
    <w:p w14:paraId="4B65C44A" w14:textId="44FBCC55" w:rsidR="00961462" w:rsidRDefault="00961462">
      <w:pPr>
        <w:spacing w:after="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818"/>
        <w:gridCol w:w="1782"/>
        <w:gridCol w:w="1980"/>
        <w:gridCol w:w="1980"/>
      </w:tblGrid>
      <w:tr w:rsidR="00217988" w:rsidRPr="00217988" w14:paraId="2F339F46" w14:textId="77777777" w:rsidTr="009A78AC">
        <w:trPr>
          <w:trHeight w:val="403"/>
        </w:trPr>
        <w:tc>
          <w:tcPr>
            <w:tcW w:w="1080" w:type="dxa"/>
            <w:shd w:val="clear" w:color="auto" w:fill="C0C0C0"/>
            <w:vAlign w:val="center"/>
          </w:tcPr>
          <w:p w14:paraId="31479A07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22ECC8FD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8" w:type="dxa"/>
            <w:shd w:val="clear" w:color="auto" w:fill="C0C0C0"/>
            <w:vAlign w:val="center"/>
          </w:tcPr>
          <w:p w14:paraId="70E743D9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2" w:type="dxa"/>
            <w:shd w:val="clear" w:color="auto" w:fill="C0C0C0"/>
            <w:vAlign w:val="center"/>
          </w:tcPr>
          <w:p w14:paraId="7322CB49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18DDA3E3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9E4F264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5</w:t>
            </w:r>
          </w:p>
        </w:tc>
      </w:tr>
      <w:tr w:rsidR="00217988" w:rsidRPr="00217988" w14:paraId="4836E0E6" w14:textId="77777777" w:rsidTr="009A78AC">
        <w:trPr>
          <w:trHeight w:val="403"/>
        </w:trPr>
        <w:tc>
          <w:tcPr>
            <w:tcW w:w="1080" w:type="dxa"/>
            <w:shd w:val="clear" w:color="auto" w:fill="C0C0C0"/>
            <w:vAlign w:val="center"/>
          </w:tcPr>
          <w:p w14:paraId="6A721C11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36AB97A3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</w:p>
          <w:p w14:paraId="6FE50B6C" w14:textId="6C3E77BF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 xml:space="preserve">Estimate of </w:t>
            </w:r>
            <w:r w:rsidRPr="00217988">
              <w:rPr>
                <w:rFonts w:ascii="Arial" w:hAnsi="Arial" w:cs="Arial"/>
                <w:b/>
              </w:rPr>
              <w:br/>
            </w:r>
            <w:r w:rsidR="0034352D" w:rsidRPr="00217988">
              <w:rPr>
                <w:rFonts w:ascii="Arial" w:hAnsi="Arial" w:cs="Arial"/>
                <w:b/>
              </w:rPr>
              <w:t>patients’</w:t>
            </w:r>
            <w:r w:rsidRPr="00217988">
              <w:rPr>
                <w:rFonts w:ascii="Arial" w:hAnsi="Arial" w:cs="Arial"/>
                <w:b/>
              </w:rPr>
              <w:t xml:space="preserve"> weight (kg)</w:t>
            </w:r>
          </w:p>
          <w:p w14:paraId="40F42BD1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shd w:val="clear" w:color="auto" w:fill="C0C0C0"/>
            <w:vAlign w:val="center"/>
          </w:tcPr>
          <w:p w14:paraId="7241B4E2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 xml:space="preserve">Equivalent </w:t>
            </w:r>
            <w:r w:rsidRPr="00217988">
              <w:rPr>
                <w:rFonts w:ascii="Arial" w:hAnsi="Arial" w:cs="Arial"/>
                <w:b/>
              </w:rPr>
              <w:br/>
              <w:t>Imperial weight</w:t>
            </w:r>
          </w:p>
        </w:tc>
        <w:tc>
          <w:tcPr>
            <w:tcW w:w="1782" w:type="dxa"/>
            <w:shd w:val="clear" w:color="auto" w:fill="C0C0C0"/>
            <w:vAlign w:val="center"/>
          </w:tcPr>
          <w:p w14:paraId="5DC538A3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Total dose (mg at 1 mg/ml)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21AACD7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Bolus dose (mls)</w:t>
            </w:r>
            <w:r w:rsidRPr="00217988">
              <w:rPr>
                <w:rFonts w:ascii="Arial" w:hAnsi="Arial" w:cs="Arial"/>
                <w:b/>
              </w:rPr>
              <w:br/>
            </w:r>
            <w:r w:rsidRPr="00217988">
              <w:rPr>
                <w:rFonts w:ascii="Arial" w:hAnsi="Arial" w:cs="Arial"/>
              </w:rPr>
              <w:t>given over 1-2 minutes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46595F7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 xml:space="preserve">Infusion dose (mls) </w:t>
            </w:r>
            <w:r w:rsidRPr="00217988">
              <w:rPr>
                <w:rFonts w:ascii="Arial" w:hAnsi="Arial" w:cs="Arial"/>
              </w:rPr>
              <w:t>= infusion rate in mls/hr</w:t>
            </w:r>
          </w:p>
        </w:tc>
      </w:tr>
      <w:tr w:rsidR="00217988" w:rsidRPr="00217988" w14:paraId="54637734" w14:textId="77777777" w:rsidTr="009A78AC">
        <w:trPr>
          <w:cantSplit/>
          <w:trHeight w:val="403"/>
        </w:trPr>
        <w:tc>
          <w:tcPr>
            <w:tcW w:w="1080" w:type="dxa"/>
            <w:vMerge w:val="restart"/>
            <w:vAlign w:val="center"/>
          </w:tcPr>
          <w:p w14:paraId="7C5EABEC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One vial</w:t>
            </w:r>
          </w:p>
        </w:tc>
        <w:tc>
          <w:tcPr>
            <w:tcW w:w="1800" w:type="dxa"/>
            <w:vAlign w:val="center"/>
          </w:tcPr>
          <w:p w14:paraId="56F66ACE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818" w:type="dxa"/>
            <w:vAlign w:val="center"/>
          </w:tcPr>
          <w:p w14:paraId="466C343B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 st 1 lb</w:t>
            </w:r>
          </w:p>
        </w:tc>
        <w:tc>
          <w:tcPr>
            <w:tcW w:w="1782" w:type="dxa"/>
            <w:vAlign w:val="center"/>
          </w:tcPr>
          <w:p w14:paraId="401C9BA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40</w:t>
            </w:r>
          </w:p>
        </w:tc>
        <w:tc>
          <w:tcPr>
            <w:tcW w:w="1980" w:type="dxa"/>
            <w:vAlign w:val="center"/>
          </w:tcPr>
          <w:p w14:paraId="248BC51C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4.0</w:t>
            </w:r>
          </w:p>
        </w:tc>
        <w:tc>
          <w:tcPr>
            <w:tcW w:w="1980" w:type="dxa"/>
            <w:vAlign w:val="center"/>
          </w:tcPr>
          <w:p w14:paraId="2115978B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36.0</w:t>
            </w:r>
          </w:p>
        </w:tc>
      </w:tr>
      <w:tr w:rsidR="00217988" w:rsidRPr="00217988" w14:paraId="0043247B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06E0D937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AF9C5DA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818" w:type="dxa"/>
            <w:vAlign w:val="center"/>
          </w:tcPr>
          <w:p w14:paraId="5B284936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 st 12 lb</w:t>
            </w:r>
          </w:p>
        </w:tc>
        <w:tc>
          <w:tcPr>
            <w:tcW w:w="1782" w:type="dxa"/>
            <w:vAlign w:val="center"/>
          </w:tcPr>
          <w:p w14:paraId="338D70C3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45</w:t>
            </w:r>
          </w:p>
        </w:tc>
        <w:tc>
          <w:tcPr>
            <w:tcW w:w="1980" w:type="dxa"/>
            <w:vAlign w:val="center"/>
          </w:tcPr>
          <w:p w14:paraId="542BC20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4.5</w:t>
            </w:r>
          </w:p>
        </w:tc>
        <w:tc>
          <w:tcPr>
            <w:tcW w:w="1980" w:type="dxa"/>
            <w:vAlign w:val="center"/>
          </w:tcPr>
          <w:p w14:paraId="2DBE800C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40.5</w:t>
            </w:r>
          </w:p>
        </w:tc>
      </w:tr>
      <w:tr w:rsidR="00217988" w:rsidRPr="00217988" w14:paraId="16F7EA14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2ADB272D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47AAE6F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818" w:type="dxa"/>
            <w:vAlign w:val="center"/>
          </w:tcPr>
          <w:p w14:paraId="6182AC5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 st 9 lb</w:t>
            </w:r>
          </w:p>
        </w:tc>
        <w:tc>
          <w:tcPr>
            <w:tcW w:w="1782" w:type="dxa"/>
            <w:vAlign w:val="center"/>
          </w:tcPr>
          <w:p w14:paraId="6D19910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49</w:t>
            </w:r>
          </w:p>
        </w:tc>
        <w:tc>
          <w:tcPr>
            <w:tcW w:w="1980" w:type="dxa"/>
            <w:vAlign w:val="center"/>
          </w:tcPr>
          <w:p w14:paraId="08DD2E62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4.9</w:t>
            </w:r>
          </w:p>
        </w:tc>
        <w:tc>
          <w:tcPr>
            <w:tcW w:w="1980" w:type="dxa"/>
            <w:vAlign w:val="center"/>
          </w:tcPr>
          <w:p w14:paraId="284916AE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44.1</w:t>
            </w:r>
          </w:p>
        </w:tc>
      </w:tr>
      <w:tr w:rsidR="00217988" w:rsidRPr="00217988" w14:paraId="0CD000AE" w14:textId="77777777" w:rsidTr="009A78AC">
        <w:trPr>
          <w:cantSplit/>
          <w:trHeight w:val="403"/>
        </w:trPr>
        <w:tc>
          <w:tcPr>
            <w:tcW w:w="1080" w:type="dxa"/>
            <w:vMerge w:val="restart"/>
            <w:vAlign w:val="center"/>
          </w:tcPr>
          <w:p w14:paraId="3FDBC513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Two vials</w:t>
            </w:r>
          </w:p>
        </w:tc>
        <w:tc>
          <w:tcPr>
            <w:tcW w:w="1800" w:type="dxa"/>
            <w:vAlign w:val="center"/>
          </w:tcPr>
          <w:p w14:paraId="6D245280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818" w:type="dxa"/>
            <w:vAlign w:val="center"/>
          </w:tcPr>
          <w:p w14:paraId="257DE838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9 st 6 lb</w:t>
            </w:r>
          </w:p>
        </w:tc>
        <w:tc>
          <w:tcPr>
            <w:tcW w:w="1782" w:type="dxa"/>
            <w:vAlign w:val="center"/>
          </w:tcPr>
          <w:p w14:paraId="6A427F96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54</w:t>
            </w:r>
          </w:p>
        </w:tc>
        <w:tc>
          <w:tcPr>
            <w:tcW w:w="1980" w:type="dxa"/>
            <w:vAlign w:val="center"/>
          </w:tcPr>
          <w:p w14:paraId="1425962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5.4</w:t>
            </w:r>
          </w:p>
        </w:tc>
        <w:tc>
          <w:tcPr>
            <w:tcW w:w="1980" w:type="dxa"/>
            <w:vAlign w:val="center"/>
          </w:tcPr>
          <w:p w14:paraId="00FD3467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48.6</w:t>
            </w:r>
          </w:p>
        </w:tc>
      </w:tr>
      <w:tr w:rsidR="00217988" w:rsidRPr="00217988" w14:paraId="6A107298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22B6BB9A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747BE40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818" w:type="dxa"/>
            <w:vAlign w:val="center"/>
          </w:tcPr>
          <w:p w14:paraId="765A816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10 st 3 lb</w:t>
            </w:r>
          </w:p>
        </w:tc>
        <w:tc>
          <w:tcPr>
            <w:tcW w:w="1782" w:type="dxa"/>
            <w:vAlign w:val="center"/>
          </w:tcPr>
          <w:p w14:paraId="0922BD49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58</w:t>
            </w:r>
          </w:p>
        </w:tc>
        <w:tc>
          <w:tcPr>
            <w:tcW w:w="1980" w:type="dxa"/>
            <w:vAlign w:val="center"/>
          </w:tcPr>
          <w:p w14:paraId="14C458FD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5.8</w:t>
            </w:r>
          </w:p>
        </w:tc>
        <w:tc>
          <w:tcPr>
            <w:tcW w:w="1980" w:type="dxa"/>
            <w:vAlign w:val="center"/>
          </w:tcPr>
          <w:p w14:paraId="4B968F9E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52.2</w:t>
            </w:r>
          </w:p>
        </w:tc>
      </w:tr>
      <w:tr w:rsidR="00217988" w:rsidRPr="00217988" w14:paraId="1E442141" w14:textId="77777777" w:rsidTr="009A78AC">
        <w:trPr>
          <w:cantSplit/>
          <w:trHeight w:val="423"/>
        </w:trPr>
        <w:tc>
          <w:tcPr>
            <w:tcW w:w="1080" w:type="dxa"/>
            <w:vMerge/>
            <w:vAlign w:val="center"/>
          </w:tcPr>
          <w:p w14:paraId="14091507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B785EEC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818" w:type="dxa"/>
            <w:vAlign w:val="center"/>
          </w:tcPr>
          <w:p w14:paraId="13DE521D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11 st 0 lb</w:t>
            </w:r>
          </w:p>
        </w:tc>
        <w:tc>
          <w:tcPr>
            <w:tcW w:w="1782" w:type="dxa"/>
            <w:vAlign w:val="center"/>
          </w:tcPr>
          <w:p w14:paraId="5300D5DC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63</w:t>
            </w:r>
          </w:p>
        </w:tc>
        <w:tc>
          <w:tcPr>
            <w:tcW w:w="1980" w:type="dxa"/>
            <w:vAlign w:val="center"/>
          </w:tcPr>
          <w:p w14:paraId="6219430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6.3</w:t>
            </w:r>
          </w:p>
        </w:tc>
        <w:tc>
          <w:tcPr>
            <w:tcW w:w="1980" w:type="dxa"/>
            <w:vAlign w:val="center"/>
          </w:tcPr>
          <w:p w14:paraId="7E2CF872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56.7</w:t>
            </w:r>
          </w:p>
        </w:tc>
      </w:tr>
      <w:tr w:rsidR="00217988" w:rsidRPr="00217988" w14:paraId="033D7376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36BC8D8F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A8F83B5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818" w:type="dxa"/>
            <w:vAlign w:val="center"/>
          </w:tcPr>
          <w:p w14:paraId="6EBCB202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11 st 11 lb</w:t>
            </w:r>
          </w:p>
        </w:tc>
        <w:tc>
          <w:tcPr>
            <w:tcW w:w="1782" w:type="dxa"/>
            <w:vAlign w:val="center"/>
          </w:tcPr>
          <w:p w14:paraId="5805EF49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67</w:t>
            </w:r>
          </w:p>
        </w:tc>
        <w:tc>
          <w:tcPr>
            <w:tcW w:w="1980" w:type="dxa"/>
            <w:vAlign w:val="center"/>
          </w:tcPr>
          <w:p w14:paraId="76B9A76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6.7</w:t>
            </w:r>
          </w:p>
        </w:tc>
        <w:tc>
          <w:tcPr>
            <w:tcW w:w="1980" w:type="dxa"/>
            <w:vAlign w:val="center"/>
          </w:tcPr>
          <w:p w14:paraId="4B57D2C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60.3</w:t>
            </w:r>
          </w:p>
        </w:tc>
      </w:tr>
      <w:tr w:rsidR="00217988" w:rsidRPr="00217988" w14:paraId="58121895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6783299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DDE8642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818" w:type="dxa"/>
            <w:vAlign w:val="center"/>
          </w:tcPr>
          <w:p w14:paraId="4CD14FA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12 st 8 lb</w:t>
            </w:r>
          </w:p>
        </w:tc>
        <w:tc>
          <w:tcPr>
            <w:tcW w:w="1782" w:type="dxa"/>
            <w:vAlign w:val="center"/>
          </w:tcPr>
          <w:p w14:paraId="14E9333A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72</w:t>
            </w:r>
          </w:p>
        </w:tc>
        <w:tc>
          <w:tcPr>
            <w:tcW w:w="1980" w:type="dxa"/>
            <w:vAlign w:val="center"/>
          </w:tcPr>
          <w:p w14:paraId="515EFA1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7.2</w:t>
            </w:r>
          </w:p>
        </w:tc>
        <w:tc>
          <w:tcPr>
            <w:tcW w:w="1980" w:type="dxa"/>
            <w:vAlign w:val="center"/>
          </w:tcPr>
          <w:p w14:paraId="43ACD27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64.8</w:t>
            </w:r>
          </w:p>
        </w:tc>
      </w:tr>
      <w:tr w:rsidR="00217988" w:rsidRPr="00217988" w14:paraId="65ED2C01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4945FCAC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CFB2595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818" w:type="dxa"/>
            <w:vAlign w:val="center"/>
          </w:tcPr>
          <w:p w14:paraId="69DD8976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13 st 5 lb</w:t>
            </w:r>
          </w:p>
        </w:tc>
        <w:tc>
          <w:tcPr>
            <w:tcW w:w="1782" w:type="dxa"/>
            <w:vAlign w:val="center"/>
          </w:tcPr>
          <w:p w14:paraId="72EF66E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76</w:t>
            </w:r>
          </w:p>
        </w:tc>
        <w:tc>
          <w:tcPr>
            <w:tcW w:w="1980" w:type="dxa"/>
            <w:vAlign w:val="center"/>
          </w:tcPr>
          <w:p w14:paraId="654ABEF8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7.6</w:t>
            </w:r>
          </w:p>
        </w:tc>
        <w:tc>
          <w:tcPr>
            <w:tcW w:w="1980" w:type="dxa"/>
            <w:vAlign w:val="center"/>
          </w:tcPr>
          <w:p w14:paraId="7F8D2C6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68.4</w:t>
            </w:r>
          </w:p>
        </w:tc>
      </w:tr>
      <w:tr w:rsidR="00217988" w:rsidRPr="00217988" w14:paraId="484D170B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56BE126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4D40248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818" w:type="dxa"/>
            <w:vAlign w:val="center"/>
          </w:tcPr>
          <w:p w14:paraId="64686556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14 st 2 lb</w:t>
            </w:r>
          </w:p>
        </w:tc>
        <w:tc>
          <w:tcPr>
            <w:tcW w:w="1782" w:type="dxa"/>
            <w:vAlign w:val="center"/>
          </w:tcPr>
          <w:p w14:paraId="140484A3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81</w:t>
            </w:r>
          </w:p>
        </w:tc>
        <w:tc>
          <w:tcPr>
            <w:tcW w:w="1980" w:type="dxa"/>
            <w:vAlign w:val="center"/>
          </w:tcPr>
          <w:p w14:paraId="0C612661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8.1</w:t>
            </w:r>
          </w:p>
        </w:tc>
        <w:tc>
          <w:tcPr>
            <w:tcW w:w="1980" w:type="dxa"/>
            <w:vAlign w:val="center"/>
          </w:tcPr>
          <w:p w14:paraId="0609FD7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72.9</w:t>
            </w:r>
          </w:p>
        </w:tc>
      </w:tr>
      <w:tr w:rsidR="00217988" w:rsidRPr="00217988" w14:paraId="4462A7B4" w14:textId="77777777" w:rsidTr="009A78AC">
        <w:trPr>
          <w:cantSplit/>
          <w:trHeight w:val="403"/>
        </w:trPr>
        <w:tc>
          <w:tcPr>
            <w:tcW w:w="1080" w:type="dxa"/>
            <w:vMerge/>
            <w:vAlign w:val="center"/>
          </w:tcPr>
          <w:p w14:paraId="5079DAE9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DCFF548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818" w:type="dxa"/>
            <w:vAlign w:val="center"/>
          </w:tcPr>
          <w:p w14:paraId="5E01C6C9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14 st 13 lb</w:t>
            </w:r>
          </w:p>
        </w:tc>
        <w:tc>
          <w:tcPr>
            <w:tcW w:w="1782" w:type="dxa"/>
            <w:vAlign w:val="center"/>
          </w:tcPr>
          <w:p w14:paraId="05340223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85</w:t>
            </w:r>
          </w:p>
        </w:tc>
        <w:tc>
          <w:tcPr>
            <w:tcW w:w="1980" w:type="dxa"/>
            <w:vAlign w:val="center"/>
          </w:tcPr>
          <w:p w14:paraId="3742A885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8.5</w:t>
            </w:r>
          </w:p>
        </w:tc>
        <w:tc>
          <w:tcPr>
            <w:tcW w:w="1980" w:type="dxa"/>
            <w:vAlign w:val="center"/>
          </w:tcPr>
          <w:p w14:paraId="1347CBD0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76.5</w:t>
            </w:r>
          </w:p>
        </w:tc>
      </w:tr>
      <w:tr w:rsidR="00217988" w:rsidRPr="00217988" w14:paraId="152359BE" w14:textId="77777777" w:rsidTr="009A78AC">
        <w:trPr>
          <w:cantSplit/>
          <w:trHeight w:val="467"/>
        </w:trPr>
        <w:tc>
          <w:tcPr>
            <w:tcW w:w="1080" w:type="dxa"/>
            <w:vMerge/>
            <w:vAlign w:val="center"/>
          </w:tcPr>
          <w:p w14:paraId="17C886A0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2E160A0" w14:textId="77777777" w:rsidR="00217988" w:rsidRPr="00217988" w:rsidRDefault="00217988" w:rsidP="00217988">
            <w:pPr>
              <w:spacing w:after="0"/>
              <w:rPr>
                <w:rFonts w:ascii="Arial" w:hAnsi="Arial" w:cs="Arial"/>
                <w:b/>
              </w:rPr>
            </w:pPr>
            <w:r w:rsidRPr="00217988">
              <w:rPr>
                <w:rFonts w:ascii="Arial" w:hAnsi="Arial" w:cs="Arial" w:hint="eastAsia"/>
                <w:b/>
              </w:rPr>
              <w:t>≥</w:t>
            </w:r>
            <w:r w:rsidRPr="00217988">
              <w:rPr>
                <w:rFonts w:ascii="Arial" w:hAnsi="Arial" w:cs="Arial" w:hint="eastAsia"/>
                <w:b/>
              </w:rPr>
              <w:t>100</w:t>
            </w:r>
          </w:p>
        </w:tc>
        <w:tc>
          <w:tcPr>
            <w:tcW w:w="1818" w:type="dxa"/>
            <w:vAlign w:val="center"/>
          </w:tcPr>
          <w:p w14:paraId="1B448BF4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15 st 10 lb</w:t>
            </w:r>
          </w:p>
        </w:tc>
        <w:tc>
          <w:tcPr>
            <w:tcW w:w="1782" w:type="dxa"/>
            <w:vAlign w:val="center"/>
          </w:tcPr>
          <w:p w14:paraId="2FB9E177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90</w:t>
            </w:r>
          </w:p>
        </w:tc>
        <w:tc>
          <w:tcPr>
            <w:tcW w:w="1980" w:type="dxa"/>
            <w:vAlign w:val="center"/>
          </w:tcPr>
          <w:p w14:paraId="090B6A33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9.0</w:t>
            </w:r>
          </w:p>
        </w:tc>
        <w:tc>
          <w:tcPr>
            <w:tcW w:w="1980" w:type="dxa"/>
            <w:vAlign w:val="center"/>
          </w:tcPr>
          <w:p w14:paraId="15F5E372" w14:textId="77777777" w:rsidR="00217988" w:rsidRPr="00217988" w:rsidRDefault="00217988" w:rsidP="00217988">
            <w:pPr>
              <w:spacing w:after="0"/>
              <w:rPr>
                <w:rFonts w:ascii="Arial" w:hAnsi="Arial" w:cs="Arial"/>
              </w:rPr>
            </w:pPr>
            <w:r w:rsidRPr="00217988">
              <w:rPr>
                <w:rFonts w:ascii="Arial" w:hAnsi="Arial" w:cs="Arial"/>
              </w:rPr>
              <w:t>81.0</w:t>
            </w:r>
          </w:p>
        </w:tc>
      </w:tr>
    </w:tbl>
    <w:p w14:paraId="10F6004E" w14:textId="0EEAA9F7" w:rsidR="00961462" w:rsidRDefault="00961462">
      <w:pPr>
        <w:spacing w:after="0"/>
        <w:rPr>
          <w:rFonts w:ascii="Arial" w:hAnsi="Arial" w:cs="Arial"/>
        </w:rPr>
      </w:pPr>
    </w:p>
    <w:p w14:paraId="01DA08FD" w14:textId="27D477B7" w:rsidR="00961462" w:rsidRDefault="00961462">
      <w:pPr>
        <w:spacing w:after="0"/>
        <w:rPr>
          <w:rFonts w:ascii="Arial" w:hAnsi="Arial" w:cs="Arial"/>
        </w:rPr>
      </w:pPr>
    </w:p>
    <w:p w14:paraId="61D6F04E" w14:textId="54254482" w:rsidR="00961462" w:rsidRDefault="00961462">
      <w:pPr>
        <w:spacing w:after="0"/>
        <w:rPr>
          <w:rFonts w:ascii="Arial" w:hAnsi="Arial" w:cs="Arial"/>
        </w:rPr>
      </w:pPr>
    </w:p>
    <w:p w14:paraId="29D651BA" w14:textId="16C0633E" w:rsidR="00961462" w:rsidRDefault="00961462">
      <w:pPr>
        <w:spacing w:after="0"/>
        <w:rPr>
          <w:rFonts w:ascii="Arial" w:hAnsi="Arial" w:cs="Arial"/>
        </w:rPr>
      </w:pPr>
    </w:p>
    <w:p w14:paraId="6DAC0E66" w14:textId="1F021949" w:rsidR="00607392" w:rsidRDefault="00607392">
      <w:pPr>
        <w:spacing w:after="0"/>
        <w:rPr>
          <w:rFonts w:ascii="Arial" w:hAnsi="Arial" w:cs="Arial"/>
        </w:rPr>
      </w:pPr>
    </w:p>
    <w:p w14:paraId="2E90CF8D" w14:textId="04771963" w:rsidR="00607392" w:rsidRDefault="00607392">
      <w:pPr>
        <w:spacing w:after="0"/>
        <w:rPr>
          <w:rFonts w:ascii="Arial" w:hAnsi="Arial" w:cs="Arial"/>
        </w:rPr>
      </w:pPr>
    </w:p>
    <w:p w14:paraId="6815912D" w14:textId="1E6F5D9E" w:rsidR="00607392" w:rsidRDefault="00607392">
      <w:pPr>
        <w:spacing w:after="0"/>
        <w:rPr>
          <w:rFonts w:ascii="Arial" w:hAnsi="Arial" w:cs="Arial"/>
        </w:rPr>
      </w:pPr>
    </w:p>
    <w:p w14:paraId="316729F3" w14:textId="5DC127EB" w:rsidR="00607392" w:rsidRDefault="00607392">
      <w:pPr>
        <w:spacing w:after="0"/>
        <w:rPr>
          <w:rFonts w:ascii="Arial" w:hAnsi="Arial" w:cs="Arial"/>
        </w:rPr>
      </w:pPr>
    </w:p>
    <w:p w14:paraId="562537A3" w14:textId="6CD45D2D" w:rsidR="00607392" w:rsidRDefault="00607392">
      <w:pPr>
        <w:spacing w:after="0"/>
        <w:rPr>
          <w:rFonts w:ascii="Arial" w:hAnsi="Arial" w:cs="Arial"/>
        </w:rPr>
      </w:pPr>
    </w:p>
    <w:p w14:paraId="377F1120" w14:textId="20C0C0C8" w:rsidR="00607392" w:rsidRDefault="00607392">
      <w:pPr>
        <w:spacing w:after="0"/>
        <w:rPr>
          <w:rFonts w:ascii="Arial" w:hAnsi="Arial" w:cs="Arial"/>
        </w:rPr>
      </w:pPr>
    </w:p>
    <w:p w14:paraId="1DB08F6D" w14:textId="197B091D" w:rsidR="00607392" w:rsidRDefault="00607392">
      <w:pPr>
        <w:spacing w:after="0"/>
        <w:rPr>
          <w:rFonts w:ascii="Arial" w:hAnsi="Arial" w:cs="Arial"/>
        </w:rPr>
      </w:pPr>
    </w:p>
    <w:p w14:paraId="034B8008" w14:textId="2E2AF359" w:rsidR="00961462" w:rsidRDefault="00961462">
      <w:pPr>
        <w:spacing w:after="0"/>
        <w:rPr>
          <w:rFonts w:ascii="Arial" w:hAnsi="Arial" w:cs="Arial"/>
        </w:rPr>
      </w:pPr>
    </w:p>
    <w:p w14:paraId="53754AE1" w14:textId="501DB140" w:rsidR="00961462" w:rsidRPr="00AE4B82" w:rsidRDefault="00AE4B82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Page 4 of 6</w:t>
      </w:r>
      <w:r w:rsidR="00DD1B98">
        <w:rPr>
          <w:rFonts w:ascii="Arial" w:hAnsi="Arial" w:cs="Arial"/>
          <w:b/>
          <w:bCs/>
          <w:sz w:val="18"/>
          <w:szCs w:val="18"/>
        </w:rPr>
        <w:t>, Version 3, Dr T Black 03/24</w:t>
      </w:r>
    </w:p>
    <w:p w14:paraId="38EDBCB3" w14:textId="7349B3B4" w:rsidR="00961462" w:rsidRDefault="00607392">
      <w:pPr>
        <w:spacing w:after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D7FF3B4" wp14:editId="76F9E9D1">
            <wp:extent cx="6560820" cy="869993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869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5EEA" w14:textId="6C8BE584" w:rsidR="0063495C" w:rsidRDefault="0063495C">
      <w:pPr>
        <w:spacing w:after="0"/>
        <w:rPr>
          <w:rFonts w:ascii="Arial" w:hAnsi="Arial" w:cs="Arial"/>
        </w:rPr>
      </w:pPr>
    </w:p>
    <w:p w14:paraId="4DF0FD0D" w14:textId="6FB8A6B8" w:rsidR="00607392" w:rsidRDefault="00607392">
      <w:pPr>
        <w:spacing w:after="0"/>
        <w:rPr>
          <w:rFonts w:ascii="Arial" w:hAnsi="Arial" w:cs="Arial"/>
        </w:rPr>
      </w:pPr>
    </w:p>
    <w:p w14:paraId="19E0D4D6" w14:textId="2A4E9CF4" w:rsidR="00CA30C2" w:rsidRPr="004121C7" w:rsidRDefault="004121C7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 appendices B, C and D, see intranet &gt; microguide &gt; Acute Medicine &gt; Stroke medicine &gt; Parenteral BP lowering appendices &gt; labetalol and GTN</w:t>
      </w:r>
    </w:p>
    <w:p w14:paraId="0B46DFC0" w14:textId="3902849E" w:rsidR="00607392" w:rsidRDefault="00607392">
      <w:pPr>
        <w:spacing w:after="0"/>
        <w:rPr>
          <w:rFonts w:ascii="Arial" w:hAnsi="Arial" w:cs="Arial"/>
        </w:rPr>
      </w:pPr>
    </w:p>
    <w:p w14:paraId="30A68042" w14:textId="18F1C28F" w:rsidR="00607392" w:rsidRPr="00AE4B82" w:rsidRDefault="00AE4B82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Page 5 of 6</w:t>
      </w:r>
      <w:r w:rsidR="00DD1B98">
        <w:rPr>
          <w:rFonts w:ascii="Arial" w:hAnsi="Arial" w:cs="Arial"/>
          <w:b/>
          <w:bCs/>
          <w:sz w:val="18"/>
          <w:szCs w:val="18"/>
        </w:rPr>
        <w:t>, Version 3, Dr T Black 03/24</w:t>
      </w:r>
    </w:p>
    <w:p w14:paraId="71780F71" w14:textId="563CF50E" w:rsidR="00607392" w:rsidRDefault="00607392">
      <w:pPr>
        <w:spacing w:after="0"/>
        <w:rPr>
          <w:rFonts w:ascii="Arial" w:hAnsi="Arial" w:cs="Arial"/>
          <w:noProof/>
        </w:rPr>
      </w:pPr>
    </w:p>
    <w:p w14:paraId="1FB07E64" w14:textId="3DD3E435" w:rsidR="00AE4B82" w:rsidRPr="00AE4B82" w:rsidRDefault="00CA30C2" w:rsidP="00AE4B8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E69B20" wp14:editId="1DD9D43F">
            <wp:extent cx="6105525" cy="77819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6EAA" w14:textId="14FE3B37" w:rsidR="00AE4B82" w:rsidRPr="00AE4B82" w:rsidRDefault="00AE4B82" w:rsidP="00AE4B82">
      <w:pPr>
        <w:rPr>
          <w:rFonts w:ascii="Arial" w:hAnsi="Arial" w:cs="Arial"/>
        </w:rPr>
      </w:pPr>
    </w:p>
    <w:p w14:paraId="78325D15" w14:textId="156ADDDB" w:rsidR="00AE4B82" w:rsidRDefault="00AE4B82" w:rsidP="00AE4B82">
      <w:pPr>
        <w:rPr>
          <w:rFonts w:ascii="Arial" w:hAnsi="Arial" w:cs="Arial"/>
          <w:noProof/>
        </w:rPr>
      </w:pPr>
    </w:p>
    <w:p w14:paraId="3FCDCCFC" w14:textId="553DC2C0" w:rsidR="00CA30C2" w:rsidRDefault="00CA30C2" w:rsidP="00AE4B82">
      <w:pPr>
        <w:rPr>
          <w:rFonts w:ascii="Arial" w:hAnsi="Arial" w:cs="Arial"/>
          <w:noProof/>
        </w:rPr>
      </w:pPr>
    </w:p>
    <w:p w14:paraId="46135BE1" w14:textId="77777777" w:rsidR="00CA30C2" w:rsidRDefault="00CA30C2" w:rsidP="00AE4B82">
      <w:pPr>
        <w:rPr>
          <w:rFonts w:ascii="Arial" w:hAnsi="Arial" w:cs="Arial"/>
          <w:noProof/>
        </w:rPr>
      </w:pPr>
    </w:p>
    <w:p w14:paraId="44830CBB" w14:textId="0DC1B8F3" w:rsidR="00AE4B82" w:rsidRPr="00AE4B82" w:rsidRDefault="00AE4B82" w:rsidP="00AE4B8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Page 6 of 6</w:t>
      </w:r>
      <w:r w:rsidR="00DD1B98">
        <w:rPr>
          <w:rFonts w:ascii="Arial" w:hAnsi="Arial" w:cs="Arial"/>
          <w:b/>
          <w:bCs/>
          <w:sz w:val="18"/>
          <w:szCs w:val="18"/>
        </w:rPr>
        <w:t>, Version 3, Dr T Black 03/24</w:t>
      </w:r>
    </w:p>
    <w:sectPr w:rsidR="00AE4B82" w:rsidRPr="00AE4B82" w:rsidSect="0063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D9A"/>
    <w:multiLevelType w:val="hybridMultilevel"/>
    <w:tmpl w:val="9CE2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B1C"/>
    <w:multiLevelType w:val="hybridMultilevel"/>
    <w:tmpl w:val="D09EE4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456D64"/>
    <w:multiLevelType w:val="hybridMultilevel"/>
    <w:tmpl w:val="C62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0B72"/>
    <w:multiLevelType w:val="hybridMultilevel"/>
    <w:tmpl w:val="76F4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737A"/>
    <w:multiLevelType w:val="hybridMultilevel"/>
    <w:tmpl w:val="E5265EE0"/>
    <w:lvl w:ilvl="0" w:tplc="988A7AA0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A8668A"/>
    <w:multiLevelType w:val="hybridMultilevel"/>
    <w:tmpl w:val="316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699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sz w:val="2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891">
    <w:abstractNumId w:val="0"/>
  </w:num>
  <w:num w:numId="2" w16cid:durableId="663556348">
    <w:abstractNumId w:val="3"/>
  </w:num>
  <w:num w:numId="3" w16cid:durableId="1848057763">
    <w:abstractNumId w:val="5"/>
  </w:num>
  <w:num w:numId="4" w16cid:durableId="898831391">
    <w:abstractNumId w:val="2"/>
  </w:num>
  <w:num w:numId="5" w16cid:durableId="771753226">
    <w:abstractNumId w:val="1"/>
  </w:num>
  <w:num w:numId="6" w16cid:durableId="832063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5C"/>
    <w:rsid w:val="00040D24"/>
    <w:rsid w:val="00072BA2"/>
    <w:rsid w:val="000A3B5E"/>
    <w:rsid w:val="00217988"/>
    <w:rsid w:val="0023376A"/>
    <w:rsid w:val="0034352D"/>
    <w:rsid w:val="003B059A"/>
    <w:rsid w:val="004121C7"/>
    <w:rsid w:val="004F5CF9"/>
    <w:rsid w:val="0050085C"/>
    <w:rsid w:val="00607392"/>
    <w:rsid w:val="0063495C"/>
    <w:rsid w:val="0073189B"/>
    <w:rsid w:val="008A3BBF"/>
    <w:rsid w:val="00961462"/>
    <w:rsid w:val="009C5EFF"/>
    <w:rsid w:val="00AE4B82"/>
    <w:rsid w:val="00CA30C2"/>
    <w:rsid w:val="00DD1B98"/>
    <w:rsid w:val="00EA2A77"/>
    <w:rsid w:val="00F522C5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E047"/>
  <w15:chartTrackingRefBased/>
  <w15:docId w15:val="{5502253D-4EBC-4F7E-B10A-E71E785B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85C"/>
    <w:pPr>
      <w:ind w:left="720"/>
      <w:contextualSpacing/>
    </w:pPr>
  </w:style>
  <w:style w:type="paragraph" w:customStyle="1" w:styleId="Default">
    <w:name w:val="Default"/>
    <w:rsid w:val="008A3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Toby (SALISBURY NHS FOUNDATION TRUST)</dc:creator>
  <cp:keywords/>
  <dc:description/>
  <cp:lastModifiedBy>HAWTIN, Rebecca (SALISBURY NHS FOUNDATION TRUST)</cp:lastModifiedBy>
  <cp:revision>2</cp:revision>
  <dcterms:created xsi:type="dcterms:W3CDTF">2024-03-07T13:13:00Z</dcterms:created>
  <dcterms:modified xsi:type="dcterms:W3CDTF">2024-03-07T13:13:00Z</dcterms:modified>
</cp:coreProperties>
</file>