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B71323">
      <w:bookmarkStart w:id="0" w:name="_GoBack"/>
      <w:bookmarkEnd w:id="0"/>
    </w:p>
    <w:p w:rsidR="005C2FAD" w:rsidRDefault="00D712D8" w:rsidP="005C2FAD">
      <w:pPr>
        <w:jc w:val="center"/>
        <w:rPr>
          <w:sz w:val="64"/>
          <w:szCs w:val="64"/>
        </w:rPr>
      </w:pPr>
      <w:r>
        <w:rPr>
          <w:sz w:val="64"/>
          <w:szCs w:val="64"/>
        </w:rPr>
        <w:t>Ferinject</w:t>
      </w:r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</w:t>
      </w:r>
      <w:r w:rsidR="00F51FC9">
        <w:rPr>
          <w:sz w:val="64"/>
          <w:szCs w:val="64"/>
        </w:rPr>
        <w:t>out</w:t>
      </w:r>
      <w:r w:rsidR="004E173D" w:rsidRPr="00623A23">
        <w:rPr>
          <w:sz w:val="64"/>
          <w:szCs w:val="64"/>
        </w:rPr>
        <w:t>patients</w:t>
      </w:r>
    </w:p>
    <w:p w:rsidR="00196D13" w:rsidRPr="00623A23" w:rsidRDefault="00196D13" w:rsidP="005C2FAD">
      <w:pPr>
        <w:jc w:val="center"/>
        <w:rPr>
          <w:sz w:val="64"/>
          <w:szCs w:val="64"/>
        </w:rPr>
      </w:pPr>
      <w:r>
        <w:rPr>
          <w:sz w:val="64"/>
          <w:szCs w:val="64"/>
        </w:rPr>
        <w:t>With heart failure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in </w:t>
      </w:r>
      <w:r w:rsidR="00434DF9">
        <w:rPr>
          <w:sz w:val="32"/>
          <w:szCs w:val="32"/>
        </w:rPr>
        <w:t>adult patients</w:t>
      </w:r>
      <w:r w:rsidR="00196D13">
        <w:rPr>
          <w:sz w:val="32"/>
          <w:szCs w:val="32"/>
        </w:rPr>
        <w:t xml:space="preserve"> with heart failure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245122">
        <w:rPr>
          <w:sz w:val="24"/>
          <w:szCs w:val="24"/>
        </w:rPr>
        <w:t>intravenous</w:t>
      </w:r>
      <w:r w:rsidR="00B17B11">
        <w:rPr>
          <w:sz w:val="24"/>
          <w:szCs w:val="24"/>
        </w:rPr>
        <w:t xml:space="preserve">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4E72FB" w:rsidRPr="00B71323" w:rsidRDefault="00245122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Ferinject</w:t>
      </w:r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 xml:space="preserve">Date ____________  </w:t>
      </w:r>
      <w:r w:rsidR="00AD2C2A">
        <w:rPr>
          <w:sz w:val="24"/>
          <w:szCs w:val="24"/>
        </w:rPr>
        <w:t xml:space="preserve">Patient’s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</w:r>
      <w:r w:rsidR="00245122">
        <w:rPr>
          <w:sz w:val="24"/>
          <w:szCs w:val="24"/>
        </w:rPr>
        <w:t>See pre-prescription checks on page 3</w:t>
      </w:r>
    </w:p>
    <w:p w:rsidR="004C7C20" w:rsidRPr="00B71323" w:rsidRDefault="004C7C20" w:rsidP="004001B2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58A0A3" wp14:editId="2E176794">
                <wp:simplePos x="0" y="0"/>
                <wp:positionH relativeFrom="column">
                  <wp:posOffset>-127591</wp:posOffset>
                </wp:positionH>
                <wp:positionV relativeFrom="paragraph">
                  <wp:posOffset>348364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ALL the following are true:</w:t>
                                </w:r>
                              </w:p>
                              <w:p w:rsidR="00947C1E" w:rsidRDefault="004001B2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</w:t>
                                </w:r>
                                <w:r w:rsidR="00C13030">
                                  <w:rPr>
                                    <w:sz w:val="24"/>
                                    <w:szCs w:val="24"/>
                                  </w:rPr>
                                  <w:t>has a functional iron deficiency</w:t>
                                </w:r>
                              </w:p>
                              <w:p w:rsidR="00163C2B" w:rsidRPr="00A344FD" w:rsidRDefault="00163C2B" w:rsidP="00A344FD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245122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5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4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ALL the following are true:</w:t>
                          </w:r>
                        </w:p>
                        <w:p w:rsidR="00947C1E" w:rsidRDefault="004001B2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</w:t>
                          </w:r>
                          <w:r w:rsidR="00C13030">
                            <w:rPr>
                              <w:sz w:val="24"/>
                              <w:szCs w:val="24"/>
                            </w:rPr>
                            <w:t>has a functional iron deficiency</w:t>
                          </w:r>
                        </w:p>
                        <w:p w:rsidR="00163C2B" w:rsidRPr="00A344FD" w:rsidRDefault="00163C2B" w:rsidP="00A344FD">
                          <w:p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245122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5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45122">
        <w:rPr>
          <w:b/>
          <w:sz w:val="32"/>
          <w:szCs w:val="24"/>
        </w:rPr>
        <w:t>treatment with intravenous iron</w:t>
      </w:r>
      <w:r w:rsidR="004001B2" w:rsidRPr="000C4824">
        <w:rPr>
          <w:b/>
          <w:sz w:val="32"/>
          <w:szCs w:val="24"/>
        </w:rPr>
        <w:t xml:space="preserve"> (</w:t>
      </w:r>
      <w:r w:rsidR="00D712D8">
        <w:rPr>
          <w:b/>
          <w:sz w:val="32"/>
          <w:szCs w:val="24"/>
        </w:rPr>
        <w:t>Ferinject</w:t>
      </w:r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D74DA" wp14:editId="7AA8B219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B71323" w:rsidRDefault="00AD2C2A" w:rsidP="00B71323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r w:rsidR="00D712D8">
        <w:rPr>
          <w:b/>
          <w:sz w:val="32"/>
          <w:szCs w:val="24"/>
        </w:rPr>
        <w:t>Ferinject</w:t>
      </w:r>
      <w:r w:rsidR="00512DA1" w:rsidRPr="002F0F05">
        <w:rPr>
          <w:b/>
          <w:sz w:val="28"/>
          <w:szCs w:val="28"/>
        </w:rPr>
        <w:t>®</w:t>
      </w:r>
    </w:p>
    <w:p w:rsidR="00943E86" w:rsidRDefault="002534FD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4C5604B" wp14:editId="130BF6CA">
                <wp:simplePos x="0" y="0"/>
                <wp:positionH relativeFrom="column">
                  <wp:posOffset>-71755</wp:posOffset>
                </wp:positionH>
                <wp:positionV relativeFrom="paragraph">
                  <wp:posOffset>593725</wp:posOffset>
                </wp:positionV>
                <wp:extent cx="5981700" cy="4194810"/>
                <wp:effectExtent l="4445" t="254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Angio</w:t>
                            </w:r>
                            <w:r w:rsidR="0024512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.65pt;margin-top:46.75pt;width:471pt;height:330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t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  <w:proofErr w:type="gramEnd"/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Angio</w:t>
                      </w:r>
                      <w:r w:rsidR="00245122">
                        <w:rPr>
                          <w:sz w:val="24"/>
                          <w:szCs w:val="24"/>
                        </w:rPr>
                        <w:t>e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7592E" wp14:editId="2DF52396">
                <wp:simplePos x="0" y="0"/>
                <wp:positionH relativeFrom="column">
                  <wp:posOffset>-158750</wp:posOffset>
                </wp:positionH>
                <wp:positionV relativeFrom="paragraph">
                  <wp:posOffset>673100</wp:posOffset>
                </wp:positionV>
                <wp:extent cx="6068695" cy="3943985"/>
                <wp:effectExtent l="12700" t="5715" r="508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394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pt;margin-top:53pt;width:477.85pt;height:3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hiQIAACE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" filled="f"/>
            </w:pict>
          </mc:Fallback>
        </mc:AlternateContent>
      </w:r>
      <w:r w:rsidR="00D712D8">
        <w:rPr>
          <w:sz w:val="24"/>
          <w:szCs w:val="24"/>
        </w:rPr>
        <w:t>Ferinject</w:t>
      </w:r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245122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r w:rsidR="00D712D8">
        <w:rPr>
          <w:b/>
          <w:sz w:val="32"/>
          <w:szCs w:val="24"/>
        </w:rPr>
        <w:t>Ferinject</w:t>
      </w:r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245122">
        <w:rPr>
          <w:b/>
          <w:sz w:val="32"/>
          <w:szCs w:val="24"/>
        </w:rPr>
        <w:t xml:space="preserve"> in</w:t>
      </w:r>
      <w:r w:rsidR="007F28C1">
        <w:rPr>
          <w:b/>
          <w:sz w:val="32"/>
          <w:szCs w:val="24"/>
        </w:rPr>
        <w:t>fusion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245122">
        <w:t>in</w:t>
      </w:r>
      <w:r w:rsidR="007F28C1">
        <w:t>fusion</w:t>
      </w:r>
      <w:r w:rsidR="007B1FF9">
        <w:t>(s)</w:t>
      </w:r>
      <w:r>
        <w:t xml:space="preserve"> (</w:t>
      </w:r>
      <w:r w:rsidR="00D712D8">
        <w:t>Ferinject</w:t>
      </w:r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245122">
        <w:t>intravenous iron.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  <w:r w:rsidR="00245122">
        <w:t>.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>I understand I can withdraw my consent at any time</w:t>
      </w:r>
      <w:r w:rsidR="00245122">
        <w:t>.</w:t>
      </w:r>
      <w:r>
        <w:t xml:space="preserve">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B87616" w:rsidRDefault="00EC7E48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71323" w:rsidRDefault="00B71323">
      <w:pPr>
        <w:rPr>
          <w:sz w:val="24"/>
          <w:szCs w:val="24"/>
        </w:rPr>
      </w:pPr>
    </w:p>
    <w:p w:rsidR="00997C49" w:rsidRDefault="00997C49">
      <w:pPr>
        <w:rPr>
          <w:b/>
          <w:sz w:val="24"/>
          <w:szCs w:val="24"/>
          <w:u w:val="single"/>
        </w:rPr>
      </w:pPr>
    </w:p>
    <w:p w:rsidR="00E950C2" w:rsidRDefault="00B713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Pre-prescription checks</w:t>
      </w:r>
    </w:p>
    <w:p w:rsidR="001C6EE7" w:rsidRPr="001C6EE7" w:rsidRDefault="001C6EE7">
      <w:pPr>
        <w:rPr>
          <w:sz w:val="24"/>
          <w:szCs w:val="24"/>
        </w:rPr>
      </w:pPr>
      <w:r>
        <w:rPr>
          <w:sz w:val="24"/>
          <w:szCs w:val="24"/>
        </w:rPr>
        <w:t>Both ferritin and TSAT should be checked prior to starting iron treatment and rechecked at the next scheduled clinic visit (preferably after 3 months).  Levels should continue to be monitored usually once or twice a year but more frequently if clinically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653"/>
        <w:gridCol w:w="1619"/>
        <w:gridCol w:w="1056"/>
      </w:tblGrid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692" w:type="dxa"/>
          </w:tcPr>
          <w:p w:rsidR="00E950C2" w:rsidRDefault="00E950C2" w:rsidP="003F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Ferritin µg/l</w:t>
            </w: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TSAT %</w:t>
            </w: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g/l</w:t>
            </w: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</w:tr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</w:tr>
    </w:tbl>
    <w:p w:rsidR="00B71323" w:rsidRDefault="00B71323">
      <w:pPr>
        <w:rPr>
          <w:sz w:val="24"/>
          <w:szCs w:val="24"/>
        </w:rPr>
      </w:pPr>
    </w:p>
    <w:p w:rsidR="001C6EE7" w:rsidRDefault="001C6EE7">
      <w:pPr>
        <w:rPr>
          <w:sz w:val="24"/>
          <w:szCs w:val="24"/>
        </w:rPr>
      </w:pPr>
    </w:p>
    <w:p w:rsidR="00010BE2" w:rsidRDefault="00141BD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288582" wp14:editId="256B4E82">
            <wp:extent cx="5731510" cy="428148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2" w:rsidRPr="00B71323" w:rsidRDefault="00010BE2">
      <w:pPr>
        <w:rPr>
          <w:sz w:val="24"/>
          <w:szCs w:val="24"/>
        </w:rPr>
      </w:pPr>
    </w:p>
    <w:p w:rsidR="00B71323" w:rsidRDefault="00B71323">
      <w:pPr>
        <w:rPr>
          <w:sz w:val="24"/>
          <w:szCs w:val="24"/>
        </w:rPr>
      </w:pPr>
    </w:p>
    <w:p w:rsidR="00B71323" w:rsidRDefault="00B71323">
      <w:pPr>
        <w:rPr>
          <w:sz w:val="24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41BDA" w:rsidRDefault="00141BDA" w:rsidP="007E6A39">
      <w:pPr>
        <w:spacing w:after="0"/>
        <w:rPr>
          <w:b/>
          <w:sz w:val="32"/>
          <w:szCs w:val="24"/>
        </w:rPr>
      </w:pPr>
    </w:p>
    <w:p w:rsidR="007E6A39" w:rsidRDefault="00F27755" w:rsidP="007E6A39">
      <w:pPr>
        <w:spacing w:after="0"/>
      </w:pPr>
      <w:r>
        <w:rPr>
          <w:b/>
          <w:sz w:val="32"/>
          <w:szCs w:val="24"/>
        </w:rPr>
        <w:lastRenderedPageBreak/>
        <w:t>Ferinject</w:t>
      </w:r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r w:rsidR="00D759C1">
        <w:rPr>
          <w:u w:val="single"/>
        </w:rPr>
        <w:t>Ferinject</w:t>
      </w:r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7F28C1" w:rsidRDefault="007F28C1" w:rsidP="007F28C1">
      <w:pPr>
        <w:numPr>
          <w:ilvl w:val="0"/>
          <w:numId w:val="12"/>
        </w:numPr>
        <w:spacing w:after="0" w:line="240" w:lineRule="auto"/>
      </w:pPr>
      <w:r>
        <w:t>Ferinject</w:t>
      </w:r>
      <w:r w:rsidRPr="00AF568B">
        <w:rPr>
          <w:b/>
        </w:rPr>
        <w:t>®</w:t>
      </w:r>
      <w:r>
        <w:t xml:space="preserve"> may be administered by intravenous infusion up to a maximum single dose of 1000 mg of</w:t>
      </w:r>
      <w:r w:rsidR="00010BE2">
        <w:t xml:space="preserve"> iron or not exceeding 20 mg/kg</w:t>
      </w:r>
      <w:r>
        <w:t xml:space="preserve"> body weight.  </w:t>
      </w:r>
    </w:p>
    <w:p w:rsidR="004326E6" w:rsidRDefault="002774EE" w:rsidP="00BD1B00">
      <w:pPr>
        <w:numPr>
          <w:ilvl w:val="0"/>
          <w:numId w:val="12"/>
        </w:numPr>
        <w:spacing w:after="0" w:line="240" w:lineRule="auto"/>
      </w:pPr>
      <w:r>
        <w:t>The recommended doses and numbers of in</w:t>
      </w:r>
      <w:r w:rsidR="007F28C1">
        <w:t>fusions</w:t>
      </w:r>
      <w:r>
        <w:t xml:space="preserve">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</w:t>
      </w:r>
      <w:r w:rsidR="007F28C1">
        <w:t>fusions</w:t>
      </w:r>
      <w:r>
        <w:t xml:space="preserve"> but the doses must not exceed those stated below.</w:t>
      </w:r>
    </w:p>
    <w:p w:rsidR="004326E6" w:rsidRDefault="004326E6" w:rsidP="004326E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10BE2" w:rsidRPr="00CB5423" w:rsidTr="00032E90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010BE2" w:rsidRPr="00CB5423" w:rsidTr="00032E9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</w:p>
        </w:tc>
      </w:tr>
      <w:tr w:rsidR="00010BE2" w:rsidRPr="00CB5423" w:rsidTr="00032E90">
        <w:trPr>
          <w:trHeight w:hRule="exact" w:val="124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 kg- &lt;50kg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infusions)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860731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infusions)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Pr="000E57A0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010BE2" w:rsidRPr="00CB5423" w:rsidTr="00032E90">
        <w:trPr>
          <w:trHeight w:hRule="exact" w:val="127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50-&lt;70kg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one 1000 mg and one 500 mg infusion)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010BE2" w:rsidRPr="00CB5423" w:rsidTr="00032E90">
        <w:trPr>
          <w:trHeight w:hRule="exact" w:val="127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two 1000 mg infusions)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860731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Pr="000E57A0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010BE2" w:rsidRPr="00FD5940" w:rsidRDefault="00010BE2" w:rsidP="00010BE2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0BE2" w:rsidTr="00032E90">
        <w:tc>
          <w:tcPr>
            <w:tcW w:w="9242" w:type="dxa"/>
          </w:tcPr>
          <w:p w:rsidR="00010BE2" w:rsidRDefault="00010BE2" w:rsidP="00032E90">
            <w:pPr>
              <w:jc w:val="center"/>
            </w:pPr>
          </w:p>
          <w:p w:rsidR="00010BE2" w:rsidRDefault="00010BE2" w:rsidP="00032E90">
            <w:pPr>
              <w:jc w:val="center"/>
            </w:pPr>
            <w:r w:rsidRPr="00FD5940">
              <w:t xml:space="preserve">TOTAL DOSE OF </w:t>
            </w:r>
            <w:r>
              <w:t xml:space="preserve">IV </w:t>
            </w:r>
            <w:r w:rsidRPr="00FD5940">
              <w:t xml:space="preserve">IRON </w:t>
            </w:r>
            <w:r>
              <w:t>(Ferinject</w:t>
            </w:r>
            <w:r w:rsidRPr="00DC031E">
              <w:rPr>
                <w:b/>
              </w:rPr>
              <w:t>®</w:t>
            </w:r>
            <w:r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infusion(s)</w:t>
            </w:r>
            <w:r w:rsidRPr="00FD5940">
              <w:t>.</w:t>
            </w:r>
          </w:p>
          <w:p w:rsidR="00010BE2" w:rsidRDefault="00010BE2" w:rsidP="00032E90">
            <w:pPr>
              <w:jc w:val="both"/>
            </w:pPr>
          </w:p>
        </w:tc>
      </w:tr>
    </w:tbl>
    <w:p w:rsidR="00010BE2" w:rsidRPr="00FD5940" w:rsidRDefault="00010BE2" w:rsidP="00010BE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798"/>
        <w:gridCol w:w="2146"/>
        <w:gridCol w:w="1685"/>
        <w:gridCol w:w="1021"/>
        <w:gridCol w:w="1021"/>
      </w:tblGrid>
      <w:tr w:rsidR="00010BE2" w:rsidRPr="00FD5940" w:rsidTr="00032E90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BE2" w:rsidRPr="00CA71E9" w:rsidRDefault="00010BE2" w:rsidP="00E91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</w:t>
            </w:r>
            <w:r w:rsidR="00E916DD">
              <w:rPr>
                <w:sz w:val="20"/>
                <w:szCs w:val="20"/>
              </w:rPr>
              <w:t>fusion</w:t>
            </w:r>
            <w:r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1798" w:type="dxa"/>
            <w:vAlign w:val="center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Ferinject</w:t>
            </w:r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146" w:type="dxa"/>
            <w:vAlign w:val="center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Infusion duration and Sodium Chloride 0.9% volume</w:t>
            </w:r>
          </w:p>
        </w:tc>
        <w:tc>
          <w:tcPr>
            <w:tcW w:w="1685" w:type="dxa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021" w:type="dxa"/>
          </w:tcPr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021" w:type="dxa"/>
          </w:tcPr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010BE2" w:rsidRPr="00FD5940" w:rsidTr="00032E90">
        <w:trPr>
          <w:trHeight w:val="738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1798" w:type="dxa"/>
            <w:vAlign w:val="bottom"/>
          </w:tcPr>
          <w:p w:rsidR="00010BE2" w:rsidRPr="00FD5940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010BE2" w:rsidP="00032E90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 xml:space="preserve">□ 250 ml over </w:t>
            </w:r>
            <w:r w:rsidR="00F51FC9">
              <w:rPr>
                <w:sz w:val="20"/>
                <w:szCs w:val="20"/>
              </w:rPr>
              <w:t>30</w:t>
            </w:r>
            <w:r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010BE2" w:rsidP="00032E90">
            <w:pPr>
              <w:jc w:val="center"/>
              <w:rPr>
                <w:vertAlign w:val="superscript"/>
              </w:rPr>
            </w:pPr>
            <w:r w:rsidRPr="00B35B28">
              <w:rPr>
                <w:sz w:val="20"/>
                <w:szCs w:val="20"/>
              </w:rPr>
              <w:t xml:space="preserve">□ 100 </w:t>
            </w:r>
            <w:r w:rsidR="00F51FC9">
              <w:rPr>
                <w:sz w:val="20"/>
                <w:szCs w:val="20"/>
              </w:rPr>
              <w:t>ml over 15</w:t>
            </w:r>
            <w:r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737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2: (if required)</w:t>
            </w:r>
          </w:p>
        </w:tc>
        <w:tc>
          <w:tcPr>
            <w:tcW w:w="1798" w:type="dxa"/>
            <w:vAlign w:val="bottom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F51FC9" w:rsidP="0003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250 ml over 30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F51FC9" w:rsidP="00032E90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□ 100 ml over 15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737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1798" w:type="dxa"/>
            <w:vAlign w:val="bottom"/>
          </w:tcPr>
          <w:p w:rsidR="00010BE2" w:rsidRDefault="00010BE2" w:rsidP="00032E90">
            <w:pPr>
              <w:spacing w:after="0" w:line="240" w:lineRule="auto"/>
              <w:jc w:val="center"/>
            </w:pPr>
          </w:p>
          <w:p w:rsidR="00010BE2" w:rsidRPr="00FD5940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F51FC9" w:rsidP="0003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250 ml over 30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F51FC9" w:rsidP="00032E90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□ 100 ml over 15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609"/>
          <w:jc w:val="center"/>
        </w:trPr>
        <w:tc>
          <w:tcPr>
            <w:tcW w:w="9242" w:type="dxa"/>
            <w:gridSpan w:val="6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  <w:p w:rsidR="00C13030" w:rsidRDefault="00C13030" w:rsidP="00C13030">
            <w:pPr>
              <w:spacing w:after="0" w:line="240" w:lineRule="auto"/>
            </w:pPr>
            <w:r>
              <w:t>$ Note 100 ml volume only applicable for 500 mg doses</w:t>
            </w:r>
          </w:p>
        </w:tc>
      </w:tr>
    </w:tbl>
    <w:p w:rsidR="00676CD1" w:rsidRDefault="00676CD1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r>
        <w:t>Ferinject</w:t>
      </w:r>
      <w:r w:rsidR="005B4681" w:rsidRPr="009C3638">
        <w:t>®</w:t>
      </w:r>
      <w:r w:rsidR="005B4681">
        <w:t xml:space="preserve"> in</w:t>
      </w:r>
      <w:r w:rsidR="007F28C1">
        <w:t>fusion</w:t>
      </w:r>
      <w:r w:rsidR="00BD1B00">
        <w:t>s</w:t>
      </w:r>
      <w:r w:rsidR="005B4681">
        <w:t xml:space="preserve"> will normally be prepared </w:t>
      </w:r>
      <w:r>
        <w:t>at ward/clinic level by nursing staff.  Please send the prescription to the hospital pharmacy dispensary in advance to obtain Ferinject</w:t>
      </w:r>
      <w:r w:rsidR="00BD1B00" w:rsidRPr="004326E6"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7F28C1" w:rsidRPr="00A95BB4" w:rsidRDefault="007F28C1" w:rsidP="007F28C1">
      <w:pPr>
        <w:jc w:val="both"/>
      </w:pPr>
      <w:r>
        <w:t>Add the required volume of Ferinject®to a 250 ml infusion bag of sodium chloride 0.9% and administer</w:t>
      </w:r>
      <w:r w:rsidRPr="00A95BB4">
        <w:t xml:space="preserve"> </w:t>
      </w:r>
      <w:r>
        <w:t xml:space="preserve">by </w:t>
      </w:r>
      <w:r w:rsidR="00F51FC9">
        <w:t>the intravenous infusion over 30</w:t>
      </w:r>
      <w:r>
        <w:t xml:space="preserve"> minutes.  Doses of 500 mg may be administered in a smaller volume, 100 ml sodium chloride</w:t>
      </w:r>
      <w:r w:rsidR="00F51FC9">
        <w:t xml:space="preserve"> 0.9%, and given over at least 15</w:t>
      </w:r>
      <w:r>
        <w:t xml:space="preserve"> minutes.</w:t>
      </w:r>
      <w:r w:rsidR="00F51FC9">
        <w:t xml:space="preserve">  Note a slower infusion rate is used for patients with heart failure in order to prevent rapid fluid shifts.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010BE2">
        <w:t>fusion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are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r>
        <w:t>Ferinject</w:t>
      </w:r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A344FD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A344FD">
                <w:rPr>
                  <w:noProof/>
                </w:rPr>
                <w:t>5</w:t>
              </w:r>
            </w:fldSimple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010BE2">
              <w:t>HF</w:t>
            </w:r>
            <w:r w:rsidR="00947C1E">
              <w:t xml:space="preserve"> </w:t>
            </w:r>
            <w:r w:rsidR="00F27755">
              <w:t>Ferinject</w:t>
            </w:r>
            <w:r w:rsidR="00947C1E">
              <w:t xml:space="preserve"> </w:t>
            </w:r>
            <w:r w:rsidR="006554DC">
              <w:t>outpatient</w:t>
            </w:r>
            <w:r w:rsidR="00010BE2">
              <w:t xml:space="preserve"> </w:t>
            </w:r>
            <w:r w:rsidR="00947C1E">
              <w:t xml:space="preserve">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A344FD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A344FD">
                <w:rPr>
                  <w:noProof/>
                </w:rPr>
                <w:t>5</w:t>
              </w:r>
            </w:fldSimple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F28C1">
              <w:t>HF</w:t>
            </w:r>
            <w:r w:rsidR="00434DF9">
              <w:t xml:space="preserve"> </w:t>
            </w:r>
            <w:r w:rsidR="00D712D8">
              <w:t>Ferinject</w:t>
            </w:r>
            <w:r w:rsidR="007F28C1">
              <w:t xml:space="preserve"> </w:t>
            </w:r>
            <w:r w:rsidR="00F51FC9">
              <w:t>outpatient</w:t>
            </w:r>
            <w:r w:rsidR="00567FD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10BE2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2AF7"/>
    <w:rsid w:val="000C4824"/>
    <w:rsid w:val="000D32E2"/>
    <w:rsid w:val="000E57A0"/>
    <w:rsid w:val="0010028C"/>
    <w:rsid w:val="00111286"/>
    <w:rsid w:val="00141BDA"/>
    <w:rsid w:val="00163C2B"/>
    <w:rsid w:val="001656AC"/>
    <w:rsid w:val="00174342"/>
    <w:rsid w:val="00196D13"/>
    <w:rsid w:val="00196FE9"/>
    <w:rsid w:val="001B248C"/>
    <w:rsid w:val="001B40EC"/>
    <w:rsid w:val="001C6EE7"/>
    <w:rsid w:val="001C7C2C"/>
    <w:rsid w:val="001E4C32"/>
    <w:rsid w:val="001F10C3"/>
    <w:rsid w:val="001F61D4"/>
    <w:rsid w:val="001F632B"/>
    <w:rsid w:val="0023131D"/>
    <w:rsid w:val="00232B1E"/>
    <w:rsid w:val="00233D86"/>
    <w:rsid w:val="00245122"/>
    <w:rsid w:val="00251718"/>
    <w:rsid w:val="002534FD"/>
    <w:rsid w:val="00272818"/>
    <w:rsid w:val="002735D1"/>
    <w:rsid w:val="002774EE"/>
    <w:rsid w:val="002A185C"/>
    <w:rsid w:val="002A5BF4"/>
    <w:rsid w:val="002C7558"/>
    <w:rsid w:val="002D1E39"/>
    <w:rsid w:val="002D5730"/>
    <w:rsid w:val="002F6CFB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3F7BA4"/>
    <w:rsid w:val="004001B2"/>
    <w:rsid w:val="0040143F"/>
    <w:rsid w:val="004047B4"/>
    <w:rsid w:val="00410202"/>
    <w:rsid w:val="00412844"/>
    <w:rsid w:val="00422DE4"/>
    <w:rsid w:val="00432192"/>
    <w:rsid w:val="004325E6"/>
    <w:rsid w:val="004326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A2B6A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7CFF"/>
    <w:rsid w:val="00567FD0"/>
    <w:rsid w:val="00573929"/>
    <w:rsid w:val="00577CE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54EE0"/>
    <w:rsid w:val="0065513B"/>
    <w:rsid w:val="006554DC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3B6E"/>
    <w:rsid w:val="00767242"/>
    <w:rsid w:val="0078344A"/>
    <w:rsid w:val="00796D9A"/>
    <w:rsid w:val="007A3410"/>
    <w:rsid w:val="007A7804"/>
    <w:rsid w:val="007B1FF9"/>
    <w:rsid w:val="007C2F8D"/>
    <w:rsid w:val="007E6A39"/>
    <w:rsid w:val="007F28C1"/>
    <w:rsid w:val="00822DB0"/>
    <w:rsid w:val="00860731"/>
    <w:rsid w:val="00872629"/>
    <w:rsid w:val="0089394F"/>
    <w:rsid w:val="008B3C3E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97C49"/>
    <w:rsid w:val="009A5DD4"/>
    <w:rsid w:val="009B0F93"/>
    <w:rsid w:val="009B436B"/>
    <w:rsid w:val="009E0D6D"/>
    <w:rsid w:val="009F7EEE"/>
    <w:rsid w:val="00A12BF2"/>
    <w:rsid w:val="00A1767C"/>
    <w:rsid w:val="00A20F40"/>
    <w:rsid w:val="00A344FD"/>
    <w:rsid w:val="00A43E56"/>
    <w:rsid w:val="00A46469"/>
    <w:rsid w:val="00AA279A"/>
    <w:rsid w:val="00AA30F6"/>
    <w:rsid w:val="00AC081B"/>
    <w:rsid w:val="00AC694D"/>
    <w:rsid w:val="00AD2C2A"/>
    <w:rsid w:val="00AD76D1"/>
    <w:rsid w:val="00AF2CF0"/>
    <w:rsid w:val="00B12698"/>
    <w:rsid w:val="00B14B95"/>
    <w:rsid w:val="00B17B11"/>
    <w:rsid w:val="00B5359C"/>
    <w:rsid w:val="00B71323"/>
    <w:rsid w:val="00B729AF"/>
    <w:rsid w:val="00B87616"/>
    <w:rsid w:val="00BA12DE"/>
    <w:rsid w:val="00BA2EF7"/>
    <w:rsid w:val="00BA3A5A"/>
    <w:rsid w:val="00BB760B"/>
    <w:rsid w:val="00BC0CE7"/>
    <w:rsid w:val="00BD1B00"/>
    <w:rsid w:val="00BD7282"/>
    <w:rsid w:val="00BE4FD5"/>
    <w:rsid w:val="00BF0411"/>
    <w:rsid w:val="00C05514"/>
    <w:rsid w:val="00C13030"/>
    <w:rsid w:val="00C14CF4"/>
    <w:rsid w:val="00C22DAE"/>
    <w:rsid w:val="00C24826"/>
    <w:rsid w:val="00C30265"/>
    <w:rsid w:val="00C31E72"/>
    <w:rsid w:val="00C5684E"/>
    <w:rsid w:val="00C60EE0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712D8"/>
    <w:rsid w:val="00D759C1"/>
    <w:rsid w:val="00D84C2A"/>
    <w:rsid w:val="00D90DA0"/>
    <w:rsid w:val="00DA28E5"/>
    <w:rsid w:val="00DB615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6DD"/>
    <w:rsid w:val="00E91A0C"/>
    <w:rsid w:val="00E950C2"/>
    <w:rsid w:val="00EA211B"/>
    <w:rsid w:val="00EA5440"/>
    <w:rsid w:val="00EB27E7"/>
    <w:rsid w:val="00EC2B06"/>
    <w:rsid w:val="00EC7742"/>
    <w:rsid w:val="00EC7E48"/>
    <w:rsid w:val="00EF0291"/>
    <w:rsid w:val="00F00A4A"/>
    <w:rsid w:val="00F27755"/>
    <w:rsid w:val="00F51FC9"/>
    <w:rsid w:val="00F64997"/>
    <w:rsid w:val="00F721F3"/>
    <w:rsid w:val="00F8749C"/>
    <w:rsid w:val="00F9562C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CE01-4716-4B1D-8047-578485D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2</cp:revision>
  <cp:lastPrinted>2020-11-17T15:21:00Z</cp:lastPrinted>
  <dcterms:created xsi:type="dcterms:W3CDTF">2020-11-18T17:26:00Z</dcterms:created>
  <dcterms:modified xsi:type="dcterms:W3CDTF">2020-11-18T17:26:00Z</dcterms:modified>
</cp:coreProperties>
</file>