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6E" w:rsidRDefault="00F87A2E" w:rsidP="00F87A2E">
      <w:pPr>
        <w:ind w:left="-1260"/>
        <w:jc w:val="right"/>
        <w:rPr>
          <w:rFonts w:ascii="Arial" w:hAnsi="Arial" w:cs="Arial"/>
          <w:sz w:val="28"/>
          <w:szCs w:val="28"/>
        </w:rPr>
      </w:pPr>
      <w:r>
        <w:rPr>
          <w:noProof/>
          <w:lang w:val="en-GB"/>
        </w:rPr>
        <w:drawing>
          <wp:inline distT="0" distB="0" distL="0" distR="0" wp14:anchorId="6B435ACE" wp14:editId="11FF8DBF">
            <wp:extent cx="1123950" cy="238125"/>
            <wp:effectExtent l="0" t="0" r="0" b="9525"/>
            <wp:docPr id="2" name="Picture 2" descr="salfb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bl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p w:rsidR="000C1A6E" w:rsidRDefault="000C1A6E" w:rsidP="00F87A2E">
      <w:pPr>
        <w:tabs>
          <w:tab w:val="left" w:pos="8340"/>
        </w:tabs>
        <w:ind w:left="-1260"/>
        <w:jc w:val="right"/>
        <w:rPr>
          <w:rFonts w:ascii="Arial" w:hAnsi="Arial" w:cs="Arial"/>
          <w:sz w:val="28"/>
          <w:szCs w:val="28"/>
        </w:rPr>
      </w:pPr>
      <w:r>
        <w:rPr>
          <w:rFonts w:ascii="Arial" w:hAnsi="Arial" w:cs="Arial"/>
          <w:sz w:val="28"/>
          <w:szCs w:val="28"/>
        </w:rPr>
        <w:tab/>
      </w:r>
    </w:p>
    <w:p w:rsidR="000C1A6E" w:rsidRDefault="000C1A6E" w:rsidP="000C1A6E">
      <w:pPr>
        <w:jc w:val="center"/>
        <w:rPr>
          <w:rFonts w:ascii="Arial" w:hAnsi="Arial" w:cs="Arial"/>
          <w:b/>
          <w:sz w:val="28"/>
          <w:szCs w:val="28"/>
        </w:rPr>
      </w:pPr>
      <w:r w:rsidRPr="0014749A">
        <w:rPr>
          <w:rFonts w:ascii="Arial" w:hAnsi="Arial" w:cs="Arial"/>
          <w:b/>
          <w:sz w:val="28"/>
          <w:szCs w:val="28"/>
        </w:rPr>
        <w:t>Ward I.V. Preparation Sheet for Tocilizumab</w:t>
      </w:r>
    </w:p>
    <w:p w:rsidR="000C1A6E" w:rsidRPr="0014749A" w:rsidRDefault="000C1A6E" w:rsidP="000C1A6E">
      <w:pPr>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for</w:t>
      </w:r>
      <w:proofErr w:type="gramEnd"/>
      <w:r>
        <w:rPr>
          <w:rFonts w:ascii="Arial" w:hAnsi="Arial" w:cs="Arial"/>
          <w:b/>
          <w:sz w:val="28"/>
          <w:szCs w:val="28"/>
        </w:rPr>
        <w:t xml:space="preserve"> patients admitted to Farley RCU with COVID 19 pneumonia</w:t>
      </w:r>
    </w:p>
    <w:p w:rsidR="000C1A6E" w:rsidRPr="00900E0E" w:rsidRDefault="000C1A6E" w:rsidP="000C1A6E">
      <w:pPr>
        <w:jc w:val="center"/>
        <w:rPr>
          <w:sz w:val="12"/>
        </w:rPr>
      </w:pPr>
    </w:p>
    <w:p w:rsidR="000C1A6E" w:rsidRPr="00156A9E" w:rsidRDefault="000C1A6E" w:rsidP="000C1A6E">
      <w:pPr>
        <w:ind w:left="851" w:hanging="851"/>
        <w:rPr>
          <w:rFonts w:ascii="Arial" w:hAnsi="Arial" w:cs="Arial"/>
          <w:b/>
          <w:sz w:val="24"/>
          <w:szCs w:val="24"/>
        </w:rPr>
      </w:pPr>
      <w:r w:rsidRPr="00156A9E">
        <w:rPr>
          <w:rFonts w:ascii="Arial" w:hAnsi="Arial" w:cs="Arial"/>
          <w:b/>
          <w:sz w:val="24"/>
          <w:szCs w:val="24"/>
        </w:rPr>
        <w:t xml:space="preserve"> Dose:</w:t>
      </w:r>
    </w:p>
    <w:p w:rsidR="000C1A6E" w:rsidRPr="00E11D36" w:rsidRDefault="000C1A6E" w:rsidP="000C1A6E">
      <w:pPr>
        <w:ind w:left="142" w:hanging="851"/>
        <w:rPr>
          <w:rFonts w:ascii="Arial" w:hAnsi="Arial" w:cs="Arial"/>
          <w:sz w:val="24"/>
          <w:szCs w:val="28"/>
        </w:rPr>
      </w:pPr>
      <w:r>
        <w:rPr>
          <w:rFonts w:ascii="Arial" w:hAnsi="Arial" w:cs="Arial"/>
          <w:sz w:val="24"/>
          <w:szCs w:val="24"/>
        </w:rPr>
        <w:t xml:space="preserve">            To</w:t>
      </w:r>
      <w:r w:rsidRPr="00E11D36">
        <w:rPr>
          <w:rFonts w:ascii="Arial" w:hAnsi="Arial" w:cs="Arial"/>
          <w:sz w:val="24"/>
          <w:szCs w:val="28"/>
        </w:rPr>
        <w:t xml:space="preserve">cilizumab should be administered as an intravenous infusion at a dose of </w:t>
      </w:r>
      <w:r>
        <w:rPr>
          <w:rFonts w:ascii="Arial" w:hAnsi="Arial" w:cs="Arial"/>
          <w:sz w:val="24"/>
          <w:szCs w:val="28"/>
        </w:rPr>
        <w:t>8</w:t>
      </w:r>
      <w:r w:rsidRPr="00E11D36">
        <w:rPr>
          <w:rFonts w:ascii="Arial" w:hAnsi="Arial" w:cs="Arial"/>
          <w:sz w:val="24"/>
          <w:szCs w:val="28"/>
        </w:rPr>
        <w:t>mg</w:t>
      </w:r>
      <w:r>
        <w:rPr>
          <w:rFonts w:ascii="Arial" w:hAnsi="Arial" w:cs="Arial"/>
          <w:sz w:val="24"/>
          <w:szCs w:val="28"/>
        </w:rPr>
        <w:t>/kg up</w:t>
      </w:r>
      <w:r w:rsidRPr="00E11D36">
        <w:rPr>
          <w:rFonts w:ascii="Arial" w:hAnsi="Arial" w:cs="Arial"/>
          <w:sz w:val="24"/>
          <w:szCs w:val="28"/>
        </w:rPr>
        <w:t xml:space="preserve"> to a maximum dose of 800mg</w:t>
      </w:r>
      <w:r>
        <w:rPr>
          <w:rFonts w:ascii="Arial" w:hAnsi="Arial" w:cs="Arial"/>
          <w:sz w:val="24"/>
          <w:szCs w:val="28"/>
        </w:rPr>
        <w:t xml:space="preserve">.  </w:t>
      </w:r>
      <w:r w:rsidRPr="00E11D36">
        <w:rPr>
          <w:rFonts w:ascii="Arial" w:hAnsi="Arial" w:cs="Arial"/>
          <w:sz w:val="24"/>
          <w:szCs w:val="28"/>
        </w:rPr>
        <w:t>The following dose bandings are suggested: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4099"/>
      </w:tblGrid>
      <w:tr w:rsidR="000C1A6E" w:rsidRPr="00161EE5" w:rsidTr="00697BE7">
        <w:tc>
          <w:tcPr>
            <w:tcW w:w="3462" w:type="dxa"/>
            <w:shd w:val="clear" w:color="auto" w:fill="auto"/>
          </w:tcPr>
          <w:p w:rsidR="000C1A6E" w:rsidRPr="00161EE5" w:rsidRDefault="000C1A6E" w:rsidP="00697BE7">
            <w:pPr>
              <w:jc w:val="center"/>
              <w:rPr>
                <w:rFonts w:ascii="Arial" w:hAnsi="Arial" w:cs="Arial"/>
                <w:b/>
                <w:sz w:val="24"/>
                <w:szCs w:val="28"/>
              </w:rPr>
            </w:pPr>
            <w:r>
              <w:rPr>
                <w:rFonts w:ascii="Arial" w:hAnsi="Arial" w:cs="Arial"/>
                <w:b/>
                <w:sz w:val="24"/>
                <w:szCs w:val="28"/>
              </w:rPr>
              <w:t xml:space="preserve">Actual Body </w:t>
            </w:r>
            <w:r w:rsidRPr="00161EE5">
              <w:rPr>
                <w:rFonts w:ascii="Arial" w:hAnsi="Arial" w:cs="Arial"/>
                <w:b/>
                <w:sz w:val="24"/>
                <w:szCs w:val="28"/>
              </w:rPr>
              <w:t>Weight</w:t>
            </w:r>
          </w:p>
        </w:tc>
        <w:tc>
          <w:tcPr>
            <w:tcW w:w="3462" w:type="dxa"/>
            <w:shd w:val="clear" w:color="auto" w:fill="auto"/>
          </w:tcPr>
          <w:p w:rsidR="000C1A6E" w:rsidRPr="00161EE5" w:rsidRDefault="000C1A6E" w:rsidP="00697BE7">
            <w:pPr>
              <w:jc w:val="center"/>
              <w:rPr>
                <w:rFonts w:ascii="Arial" w:hAnsi="Arial" w:cs="Arial"/>
                <w:b/>
                <w:sz w:val="24"/>
                <w:szCs w:val="28"/>
              </w:rPr>
            </w:pPr>
            <w:r w:rsidRPr="00161EE5">
              <w:rPr>
                <w:rFonts w:ascii="Arial" w:hAnsi="Arial" w:cs="Arial"/>
                <w:b/>
                <w:sz w:val="24"/>
                <w:szCs w:val="28"/>
              </w:rPr>
              <w:t>Dose</w:t>
            </w:r>
          </w:p>
        </w:tc>
        <w:tc>
          <w:tcPr>
            <w:tcW w:w="4099" w:type="dxa"/>
            <w:shd w:val="clear" w:color="auto" w:fill="auto"/>
          </w:tcPr>
          <w:p w:rsidR="000C1A6E" w:rsidRPr="00161EE5" w:rsidRDefault="000C1A6E" w:rsidP="00697BE7">
            <w:pPr>
              <w:jc w:val="center"/>
              <w:rPr>
                <w:rFonts w:ascii="Arial" w:hAnsi="Arial" w:cs="Arial"/>
                <w:b/>
                <w:sz w:val="24"/>
                <w:szCs w:val="28"/>
              </w:rPr>
            </w:pPr>
            <w:r w:rsidRPr="00161EE5">
              <w:rPr>
                <w:rFonts w:ascii="Arial" w:hAnsi="Arial" w:cs="Arial"/>
                <w:b/>
                <w:sz w:val="24"/>
                <w:szCs w:val="28"/>
              </w:rPr>
              <w:t>Tocilizumab Volume 20mg/ml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&lt;41kg </w:t>
            </w:r>
          </w:p>
        </w:tc>
        <w:tc>
          <w:tcPr>
            <w:tcW w:w="3462" w:type="dxa"/>
            <w:shd w:val="clear" w:color="auto" w:fill="auto"/>
          </w:tcPr>
          <w:p w:rsidR="000C1A6E" w:rsidRDefault="000C1A6E" w:rsidP="00697BE7">
            <w:pPr>
              <w:jc w:val="center"/>
              <w:rPr>
                <w:rFonts w:ascii="Arial" w:hAnsi="Arial" w:cs="Arial"/>
                <w:sz w:val="24"/>
                <w:szCs w:val="28"/>
              </w:rPr>
            </w:pPr>
            <w:r w:rsidRPr="00161EE5">
              <w:rPr>
                <w:rFonts w:ascii="Arial" w:hAnsi="Arial" w:cs="Arial"/>
                <w:sz w:val="24"/>
                <w:szCs w:val="28"/>
              </w:rPr>
              <w:t xml:space="preserve">8mg/kg </w:t>
            </w:r>
            <w:r>
              <w:rPr>
                <w:rFonts w:ascii="Arial" w:hAnsi="Arial" w:cs="Arial"/>
                <w:sz w:val="24"/>
                <w:szCs w:val="28"/>
              </w:rPr>
              <w:t xml:space="preserve"> </w:t>
            </w:r>
          </w:p>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round to </w:t>
            </w:r>
            <w:r>
              <w:rPr>
                <w:rFonts w:ascii="Arial" w:hAnsi="Arial" w:cs="Arial"/>
                <w:sz w:val="24"/>
                <w:szCs w:val="28"/>
              </w:rPr>
              <w:t xml:space="preserve"> nearest </w:t>
            </w:r>
            <w:r w:rsidRPr="00161EE5">
              <w:rPr>
                <w:rFonts w:ascii="Arial" w:hAnsi="Arial" w:cs="Arial"/>
                <w:sz w:val="24"/>
                <w:szCs w:val="28"/>
              </w:rPr>
              <w:t xml:space="preserve">20mg </w:t>
            </w:r>
          </w:p>
        </w:tc>
        <w:tc>
          <w:tcPr>
            <w:tcW w:w="4099" w:type="dxa"/>
            <w:shd w:val="clear" w:color="auto" w:fill="auto"/>
          </w:tcPr>
          <w:p w:rsidR="000C1A6E" w:rsidRPr="00161EE5" w:rsidRDefault="000C1A6E" w:rsidP="00697BE7">
            <w:pPr>
              <w:jc w:val="center"/>
              <w:rPr>
                <w:rFonts w:ascii="Arial" w:hAnsi="Arial" w:cs="Arial"/>
                <w:sz w:val="24"/>
                <w:szCs w:val="28"/>
              </w:rPr>
            </w:pP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 41kg and ≤ 45kg </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360mg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18ml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 46kg and ≤ 55kg </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400mg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20ml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 56kg and ≤ 65kg </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480mg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24ml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66kg and ≤ 80kg</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600mg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30ml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81kg and ≤ 90kg</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680mg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34ml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≥91kg</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800mg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40ml</w:t>
            </w:r>
          </w:p>
        </w:tc>
      </w:tr>
    </w:tbl>
    <w:p w:rsidR="000C1A6E" w:rsidRPr="00156A9E" w:rsidRDefault="000C1A6E" w:rsidP="000C1A6E">
      <w:pPr>
        <w:rPr>
          <w:rFonts w:ascii="Arial" w:hAnsi="Arial" w:cs="Arial"/>
          <w:b/>
          <w:sz w:val="24"/>
          <w:szCs w:val="24"/>
        </w:rPr>
      </w:pPr>
    </w:p>
    <w:p w:rsidR="000C1A6E" w:rsidRPr="00156A9E" w:rsidRDefault="000C1A6E" w:rsidP="000C1A6E">
      <w:pPr>
        <w:rPr>
          <w:rFonts w:ascii="Arial" w:hAnsi="Arial" w:cs="Arial"/>
          <w:b/>
          <w:sz w:val="24"/>
          <w:szCs w:val="24"/>
        </w:rPr>
      </w:pPr>
      <w:r w:rsidRPr="00156A9E">
        <w:rPr>
          <w:rFonts w:ascii="Arial" w:hAnsi="Arial" w:cs="Arial"/>
          <w:b/>
          <w:sz w:val="24"/>
          <w:szCs w:val="24"/>
        </w:rPr>
        <w:t>Starting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66"/>
      </w:tblGrid>
      <w:tr w:rsidR="000C1A6E" w:rsidTr="00697BE7">
        <w:trPr>
          <w:cantSplit/>
        </w:trPr>
        <w:tc>
          <w:tcPr>
            <w:tcW w:w="2802" w:type="dxa"/>
            <w:vMerge w:val="restart"/>
          </w:tcPr>
          <w:p w:rsidR="000C1A6E" w:rsidRPr="008B5775" w:rsidRDefault="000C1A6E" w:rsidP="00697BE7">
            <w:pPr>
              <w:pStyle w:val="Heading7"/>
              <w:rPr>
                <w:rFonts w:ascii="Arial" w:hAnsi="Arial" w:cs="Arial"/>
                <w:b/>
                <w:sz w:val="28"/>
                <w:szCs w:val="28"/>
              </w:rPr>
            </w:pPr>
            <w:r w:rsidRPr="008B5775">
              <w:rPr>
                <w:rFonts w:ascii="Arial" w:hAnsi="Arial" w:cs="Arial"/>
                <w:b/>
                <w:sz w:val="28"/>
                <w:szCs w:val="28"/>
              </w:rPr>
              <w:t>Tocilizumab vials</w:t>
            </w:r>
          </w:p>
          <w:p w:rsidR="000C1A6E" w:rsidRDefault="000C1A6E" w:rsidP="00697BE7">
            <w:pPr>
              <w:rPr>
                <w:rFonts w:ascii="Arial" w:hAnsi="Arial" w:cs="Arial"/>
                <w:b/>
                <w:sz w:val="24"/>
                <w:szCs w:val="24"/>
                <w:lang w:val="en-GB" w:eastAsia="en-US"/>
              </w:rPr>
            </w:pPr>
            <w:r w:rsidRPr="008B5775">
              <w:rPr>
                <w:rFonts w:ascii="Arial" w:hAnsi="Arial" w:cs="Arial"/>
                <w:b/>
                <w:sz w:val="28"/>
                <w:szCs w:val="28"/>
                <w:lang w:val="en-GB" w:eastAsia="en-US"/>
              </w:rPr>
              <w:t>20mg/ml</w:t>
            </w:r>
          </w:p>
          <w:p w:rsidR="000C1A6E" w:rsidRPr="00A82BEB" w:rsidRDefault="000C1A6E" w:rsidP="00697BE7">
            <w:pPr>
              <w:rPr>
                <w:rFonts w:ascii="Arial" w:hAnsi="Arial" w:cs="Arial"/>
                <w:b/>
                <w:sz w:val="24"/>
                <w:szCs w:val="24"/>
                <w:lang w:val="en-GB" w:eastAsia="en-US"/>
              </w:rPr>
            </w:pPr>
            <w:r>
              <w:rPr>
                <w:rFonts w:ascii="Arial" w:hAnsi="Arial" w:cs="Arial"/>
                <w:b/>
                <w:sz w:val="24"/>
                <w:szCs w:val="24"/>
                <w:lang w:val="en-GB" w:eastAsia="en-US"/>
              </w:rPr>
              <w:t>Store in a fridge</w:t>
            </w: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 xml:space="preserve">  80mg /  4ml</w:t>
            </w:r>
          </w:p>
        </w:tc>
      </w:tr>
      <w:tr w:rsidR="000C1A6E" w:rsidTr="00697BE7">
        <w:trPr>
          <w:cantSplit/>
        </w:trPr>
        <w:tc>
          <w:tcPr>
            <w:tcW w:w="2802" w:type="dxa"/>
            <w:vMerge/>
          </w:tcPr>
          <w:p w:rsidR="000C1A6E" w:rsidRPr="00B1086D" w:rsidRDefault="000C1A6E" w:rsidP="00697BE7">
            <w:pPr>
              <w:pStyle w:val="Header"/>
              <w:tabs>
                <w:tab w:val="clear" w:pos="4153"/>
                <w:tab w:val="clear" w:pos="8306"/>
              </w:tabs>
              <w:rPr>
                <w:rFonts w:ascii="Arial" w:hAnsi="Arial" w:cs="Arial"/>
                <w:sz w:val="24"/>
                <w:szCs w:val="24"/>
              </w:rPr>
            </w:pP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200mg / 10ml</w:t>
            </w:r>
          </w:p>
        </w:tc>
      </w:tr>
      <w:tr w:rsidR="000C1A6E" w:rsidTr="00697BE7">
        <w:trPr>
          <w:cantSplit/>
          <w:trHeight w:val="213"/>
        </w:trPr>
        <w:tc>
          <w:tcPr>
            <w:tcW w:w="2802" w:type="dxa"/>
            <w:vMerge/>
          </w:tcPr>
          <w:p w:rsidR="000C1A6E" w:rsidRPr="00B1086D" w:rsidRDefault="000C1A6E" w:rsidP="00697BE7">
            <w:pPr>
              <w:rPr>
                <w:rFonts w:ascii="Arial" w:hAnsi="Arial" w:cs="Arial"/>
                <w:sz w:val="24"/>
                <w:szCs w:val="24"/>
              </w:rPr>
            </w:pP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400mg / 20ml</w:t>
            </w:r>
          </w:p>
        </w:tc>
      </w:tr>
      <w:tr w:rsidR="000C1A6E" w:rsidTr="00697BE7">
        <w:tc>
          <w:tcPr>
            <w:tcW w:w="2802" w:type="dxa"/>
          </w:tcPr>
          <w:p w:rsidR="000C1A6E" w:rsidRDefault="000C1A6E" w:rsidP="00697BE7">
            <w:pPr>
              <w:rPr>
                <w:rFonts w:ascii="Arial" w:hAnsi="Arial" w:cs="Arial"/>
                <w:sz w:val="24"/>
                <w:szCs w:val="24"/>
              </w:rPr>
            </w:pPr>
            <w:r w:rsidRPr="00B1086D">
              <w:rPr>
                <w:rFonts w:ascii="Arial" w:hAnsi="Arial" w:cs="Arial"/>
                <w:sz w:val="24"/>
                <w:szCs w:val="24"/>
              </w:rPr>
              <w:t>Sodium Chloride 0.9%</w:t>
            </w:r>
          </w:p>
          <w:p w:rsidR="000C1A6E" w:rsidRPr="00B1086D" w:rsidRDefault="000C1A6E" w:rsidP="00697BE7">
            <w:pPr>
              <w:rPr>
                <w:rFonts w:ascii="Arial" w:hAnsi="Arial" w:cs="Arial"/>
                <w:sz w:val="24"/>
                <w:szCs w:val="24"/>
              </w:rPr>
            </w:pPr>
            <w:r>
              <w:rPr>
                <w:rFonts w:ascii="Arial" w:hAnsi="Arial" w:cs="Arial"/>
                <w:sz w:val="24"/>
                <w:szCs w:val="24"/>
              </w:rPr>
              <w:t>Infusion bag</w:t>
            </w: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100ml</w:t>
            </w:r>
          </w:p>
        </w:tc>
      </w:tr>
    </w:tbl>
    <w:p w:rsidR="000C1A6E" w:rsidRPr="00156A9E" w:rsidRDefault="000C1A6E" w:rsidP="000C1A6E">
      <w:pPr>
        <w:rPr>
          <w:rFonts w:ascii="Arial" w:hAnsi="Arial" w:cs="Arial"/>
          <w:b/>
          <w:sz w:val="24"/>
          <w:szCs w:val="24"/>
        </w:rPr>
      </w:pPr>
    </w:p>
    <w:p w:rsidR="000C1A6E" w:rsidRPr="00156A9E" w:rsidRDefault="000C1A6E" w:rsidP="000C1A6E">
      <w:pPr>
        <w:rPr>
          <w:rFonts w:ascii="Arial" w:hAnsi="Arial" w:cs="Arial"/>
          <w:b/>
          <w:sz w:val="24"/>
          <w:szCs w:val="24"/>
        </w:rPr>
      </w:pPr>
      <w:r w:rsidRPr="00156A9E">
        <w:rPr>
          <w:rFonts w:ascii="Arial" w:hAnsi="Arial" w:cs="Arial"/>
          <w:b/>
          <w:sz w:val="24"/>
          <w:szCs w:val="24"/>
        </w:rPr>
        <w:t>Equipment used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0C1A6E" w:rsidTr="00697BE7">
        <w:tc>
          <w:tcPr>
            <w:tcW w:w="11023" w:type="dxa"/>
          </w:tcPr>
          <w:p w:rsidR="000C1A6E" w:rsidRPr="00B1086D" w:rsidRDefault="000C1A6E" w:rsidP="00697BE7">
            <w:pPr>
              <w:rPr>
                <w:rFonts w:ascii="Arial" w:hAnsi="Arial" w:cs="Arial"/>
                <w:sz w:val="24"/>
                <w:szCs w:val="24"/>
              </w:rPr>
            </w:pPr>
            <w:r>
              <w:rPr>
                <w:rFonts w:ascii="Arial" w:hAnsi="Arial" w:cs="Arial"/>
                <w:sz w:val="24"/>
                <w:szCs w:val="24"/>
              </w:rPr>
              <w:t>Clinell  wipes</w:t>
            </w:r>
            <w:r w:rsidRPr="00B1086D">
              <w:rPr>
                <w:rFonts w:ascii="Arial" w:hAnsi="Arial" w:cs="Arial"/>
                <w:sz w:val="24"/>
                <w:szCs w:val="24"/>
              </w:rPr>
              <w:t xml:space="preserve">                      </w:t>
            </w:r>
          </w:p>
          <w:p w:rsidR="000C1A6E" w:rsidRPr="00B1086D" w:rsidRDefault="000C1A6E" w:rsidP="00697BE7">
            <w:pPr>
              <w:rPr>
                <w:rFonts w:ascii="Arial" w:hAnsi="Arial" w:cs="Arial"/>
                <w:sz w:val="24"/>
                <w:szCs w:val="24"/>
              </w:rPr>
            </w:pPr>
            <w:r w:rsidRPr="00B1086D">
              <w:rPr>
                <w:rFonts w:ascii="Arial" w:hAnsi="Arial" w:cs="Arial"/>
                <w:sz w:val="24"/>
                <w:szCs w:val="24"/>
              </w:rPr>
              <w:t xml:space="preserve">Syringe of appropriate size for volume required </w:t>
            </w:r>
          </w:p>
          <w:p w:rsidR="000C1A6E" w:rsidRDefault="000C1A6E" w:rsidP="00697BE7">
            <w:pPr>
              <w:rPr>
                <w:rFonts w:ascii="Arial" w:hAnsi="Arial" w:cs="Arial"/>
                <w:sz w:val="24"/>
                <w:szCs w:val="24"/>
              </w:rPr>
            </w:pPr>
            <w:r>
              <w:rPr>
                <w:rFonts w:ascii="Arial" w:hAnsi="Arial" w:cs="Arial"/>
                <w:sz w:val="24"/>
                <w:szCs w:val="24"/>
              </w:rPr>
              <w:t xml:space="preserve">Needles </w:t>
            </w:r>
          </w:p>
          <w:p w:rsidR="000C1A6E" w:rsidRPr="00B1086D" w:rsidRDefault="000C1A6E" w:rsidP="00697BE7">
            <w:pPr>
              <w:rPr>
                <w:rFonts w:ascii="Arial" w:hAnsi="Arial" w:cs="Arial"/>
                <w:sz w:val="24"/>
                <w:szCs w:val="24"/>
              </w:rPr>
            </w:pPr>
            <w:r>
              <w:rPr>
                <w:rFonts w:ascii="Arial" w:hAnsi="Arial" w:cs="Arial"/>
                <w:sz w:val="24"/>
                <w:szCs w:val="24"/>
              </w:rPr>
              <w:t>Infusion set</w:t>
            </w:r>
          </w:p>
        </w:tc>
      </w:tr>
    </w:tbl>
    <w:p w:rsidR="000C1A6E" w:rsidRDefault="000C1A6E" w:rsidP="000C1A6E">
      <w:pPr>
        <w:rPr>
          <w:rFonts w:ascii="Arial" w:hAnsi="Arial" w:cs="Arial"/>
          <w:b/>
          <w:sz w:val="24"/>
          <w:szCs w:val="24"/>
        </w:rPr>
      </w:pPr>
    </w:p>
    <w:p w:rsidR="000C1A6E" w:rsidRPr="0014749A" w:rsidRDefault="000C1A6E" w:rsidP="000C1A6E">
      <w:pPr>
        <w:rPr>
          <w:rFonts w:ascii="Arial" w:hAnsi="Arial" w:cs="Arial"/>
          <w:b/>
          <w:sz w:val="24"/>
          <w:szCs w:val="24"/>
        </w:rPr>
      </w:pPr>
      <w:r w:rsidRPr="0014749A">
        <w:rPr>
          <w:rFonts w:ascii="Arial" w:hAnsi="Arial" w:cs="Arial"/>
          <w:b/>
          <w:sz w:val="24"/>
          <w:szCs w:val="24"/>
        </w:rPr>
        <w:t>Method of Preparation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0C1A6E" w:rsidTr="00697BE7">
        <w:tc>
          <w:tcPr>
            <w:tcW w:w="11023" w:type="dxa"/>
          </w:tcPr>
          <w:p w:rsidR="000C1A6E" w:rsidRPr="00E11D36" w:rsidRDefault="000C1A6E" w:rsidP="00697BE7">
            <w:pPr>
              <w:ind w:left="360"/>
              <w:rPr>
                <w:sz w:val="12"/>
                <w:szCs w:val="24"/>
              </w:rPr>
            </w:pPr>
          </w:p>
          <w:p w:rsidR="000C1A6E" w:rsidRDefault="000C1A6E" w:rsidP="00697BE7">
            <w:pPr>
              <w:numPr>
                <w:ilvl w:val="0"/>
                <w:numId w:val="1"/>
              </w:numPr>
              <w:rPr>
                <w:rFonts w:ascii="Arial" w:hAnsi="Arial" w:cs="Arial"/>
                <w:sz w:val="24"/>
                <w:szCs w:val="24"/>
              </w:rPr>
            </w:pPr>
            <w:r>
              <w:rPr>
                <w:rFonts w:ascii="Arial" w:hAnsi="Arial" w:cs="Arial"/>
                <w:sz w:val="24"/>
                <w:szCs w:val="24"/>
              </w:rPr>
              <w:t>Check dose on prescription &amp; calculate volume to measure from table above</w:t>
            </w:r>
          </w:p>
          <w:p w:rsidR="000C1A6E" w:rsidRPr="00B1086D" w:rsidRDefault="000C1A6E" w:rsidP="00697BE7">
            <w:pPr>
              <w:numPr>
                <w:ilvl w:val="0"/>
                <w:numId w:val="1"/>
              </w:numPr>
              <w:rPr>
                <w:rFonts w:ascii="Arial" w:hAnsi="Arial" w:cs="Arial"/>
                <w:sz w:val="24"/>
                <w:szCs w:val="24"/>
              </w:rPr>
            </w:pPr>
            <w:r w:rsidRPr="00B1086D">
              <w:rPr>
                <w:rFonts w:ascii="Arial" w:hAnsi="Arial" w:cs="Arial"/>
                <w:sz w:val="24"/>
                <w:szCs w:val="24"/>
              </w:rPr>
              <w:t xml:space="preserve">Swab bungs on vials &amp; bag with </w:t>
            </w:r>
            <w:r>
              <w:rPr>
                <w:rFonts w:ascii="Arial" w:hAnsi="Arial" w:cs="Arial"/>
                <w:sz w:val="24"/>
                <w:szCs w:val="24"/>
              </w:rPr>
              <w:t xml:space="preserve">Clinell </w:t>
            </w:r>
            <w:r w:rsidRPr="00B1086D">
              <w:rPr>
                <w:rFonts w:ascii="Arial" w:hAnsi="Arial" w:cs="Arial"/>
                <w:sz w:val="24"/>
                <w:szCs w:val="24"/>
              </w:rPr>
              <w:t xml:space="preserve"> wipe &amp; allow to dry</w:t>
            </w:r>
          </w:p>
          <w:p w:rsidR="000C1A6E" w:rsidRPr="00B1086D" w:rsidRDefault="000C1A6E" w:rsidP="00697BE7">
            <w:pPr>
              <w:numPr>
                <w:ilvl w:val="0"/>
                <w:numId w:val="1"/>
              </w:numPr>
              <w:rPr>
                <w:rFonts w:ascii="Arial" w:hAnsi="Arial" w:cs="Arial"/>
                <w:sz w:val="24"/>
                <w:szCs w:val="24"/>
              </w:rPr>
            </w:pPr>
            <w:r w:rsidRPr="00B1086D">
              <w:rPr>
                <w:rFonts w:ascii="Arial" w:hAnsi="Arial" w:cs="Arial"/>
                <w:sz w:val="24"/>
                <w:szCs w:val="24"/>
              </w:rPr>
              <w:t>Draw out of 100ml  bag the volume equivalent to Tocilizumab volume required &amp; discard</w:t>
            </w:r>
          </w:p>
          <w:p w:rsidR="000C1A6E" w:rsidRPr="00B1086D" w:rsidRDefault="000C1A6E" w:rsidP="00697BE7">
            <w:pPr>
              <w:numPr>
                <w:ilvl w:val="0"/>
                <w:numId w:val="1"/>
              </w:numPr>
              <w:rPr>
                <w:rFonts w:ascii="Arial" w:hAnsi="Arial" w:cs="Arial"/>
                <w:sz w:val="24"/>
                <w:szCs w:val="24"/>
              </w:rPr>
            </w:pPr>
            <w:r>
              <w:rPr>
                <w:rFonts w:ascii="Arial" w:hAnsi="Arial" w:cs="Arial"/>
                <w:sz w:val="24"/>
                <w:szCs w:val="24"/>
              </w:rPr>
              <w:t xml:space="preserve">Take new syringe &amp; needle, </w:t>
            </w:r>
            <w:proofErr w:type="gramStart"/>
            <w:r w:rsidRPr="00B1086D">
              <w:rPr>
                <w:rFonts w:ascii="Arial" w:hAnsi="Arial" w:cs="Arial"/>
                <w:sz w:val="24"/>
                <w:szCs w:val="24"/>
              </w:rPr>
              <w:t>then</w:t>
            </w:r>
            <w:proofErr w:type="gramEnd"/>
            <w:r w:rsidRPr="00B1086D">
              <w:rPr>
                <w:rFonts w:ascii="Arial" w:hAnsi="Arial" w:cs="Arial"/>
                <w:sz w:val="24"/>
                <w:szCs w:val="24"/>
              </w:rPr>
              <w:t xml:space="preserve"> draw up volume required of Toci</w:t>
            </w:r>
            <w:r>
              <w:rPr>
                <w:rFonts w:ascii="Arial" w:hAnsi="Arial" w:cs="Arial"/>
                <w:sz w:val="24"/>
                <w:szCs w:val="24"/>
              </w:rPr>
              <w:t>lizumab from vials</w:t>
            </w:r>
            <w:r w:rsidRPr="00B1086D">
              <w:rPr>
                <w:rFonts w:ascii="Arial" w:hAnsi="Arial" w:cs="Arial"/>
                <w:sz w:val="24"/>
                <w:szCs w:val="24"/>
              </w:rPr>
              <w:t>.</w:t>
            </w:r>
          </w:p>
          <w:p w:rsidR="000C1A6E" w:rsidRPr="00B1086D" w:rsidRDefault="000C1A6E" w:rsidP="00697BE7">
            <w:pPr>
              <w:numPr>
                <w:ilvl w:val="0"/>
                <w:numId w:val="1"/>
              </w:numPr>
              <w:rPr>
                <w:rFonts w:ascii="Arial" w:hAnsi="Arial" w:cs="Arial"/>
                <w:sz w:val="24"/>
                <w:szCs w:val="24"/>
              </w:rPr>
            </w:pPr>
            <w:r>
              <w:rPr>
                <w:rFonts w:ascii="Arial" w:hAnsi="Arial" w:cs="Arial"/>
                <w:sz w:val="24"/>
                <w:szCs w:val="24"/>
              </w:rPr>
              <w:t>A</w:t>
            </w:r>
            <w:r w:rsidRPr="00B1086D">
              <w:rPr>
                <w:rFonts w:ascii="Arial" w:hAnsi="Arial" w:cs="Arial"/>
                <w:sz w:val="24"/>
                <w:szCs w:val="24"/>
              </w:rPr>
              <w:t>dd to 100ml bag</w:t>
            </w:r>
          </w:p>
          <w:p w:rsidR="000C1A6E" w:rsidRPr="00B1086D" w:rsidRDefault="000C1A6E" w:rsidP="00697BE7">
            <w:pPr>
              <w:numPr>
                <w:ilvl w:val="0"/>
                <w:numId w:val="1"/>
              </w:numPr>
              <w:rPr>
                <w:rFonts w:ascii="Arial" w:hAnsi="Arial" w:cs="Arial"/>
                <w:sz w:val="24"/>
                <w:szCs w:val="24"/>
              </w:rPr>
            </w:pPr>
            <w:r w:rsidRPr="00B1086D">
              <w:rPr>
                <w:rFonts w:ascii="Arial" w:hAnsi="Arial" w:cs="Arial"/>
                <w:sz w:val="24"/>
                <w:szCs w:val="24"/>
              </w:rPr>
              <w:t>Invert gently to mix</w:t>
            </w:r>
            <w:r w:rsidRPr="00B1086D">
              <w:rPr>
                <w:rFonts w:ascii="Arial" w:hAnsi="Arial" w:cs="Arial"/>
                <w:b/>
                <w:bCs/>
                <w:sz w:val="24"/>
                <w:szCs w:val="24"/>
              </w:rPr>
              <w:t>, do not shake</w:t>
            </w:r>
            <w:r w:rsidRPr="00B1086D">
              <w:rPr>
                <w:rFonts w:ascii="Arial" w:hAnsi="Arial" w:cs="Arial"/>
                <w:sz w:val="24"/>
                <w:szCs w:val="24"/>
              </w:rPr>
              <w:t>.</w:t>
            </w:r>
          </w:p>
          <w:p w:rsidR="000C1A6E" w:rsidRDefault="000C1A6E" w:rsidP="00697BE7">
            <w:pPr>
              <w:numPr>
                <w:ilvl w:val="0"/>
                <w:numId w:val="1"/>
              </w:numPr>
              <w:rPr>
                <w:rFonts w:ascii="Arial" w:hAnsi="Arial" w:cs="Arial"/>
                <w:sz w:val="24"/>
                <w:szCs w:val="24"/>
              </w:rPr>
            </w:pPr>
            <w:r w:rsidRPr="00B1086D">
              <w:rPr>
                <w:rFonts w:ascii="Arial" w:hAnsi="Arial" w:cs="Arial"/>
                <w:sz w:val="24"/>
                <w:szCs w:val="24"/>
              </w:rPr>
              <w:t>Label infusion</w:t>
            </w:r>
            <w:r>
              <w:rPr>
                <w:rFonts w:ascii="Arial" w:hAnsi="Arial" w:cs="Arial"/>
                <w:sz w:val="24"/>
                <w:szCs w:val="24"/>
              </w:rPr>
              <w:t xml:space="preserve"> and record batch number of product given on drug chart</w:t>
            </w:r>
          </w:p>
          <w:p w:rsidR="000C1A6E" w:rsidRPr="00E11D36" w:rsidRDefault="000C1A6E" w:rsidP="00697BE7">
            <w:pPr>
              <w:numPr>
                <w:ilvl w:val="0"/>
                <w:numId w:val="1"/>
              </w:numPr>
              <w:rPr>
                <w:rFonts w:ascii="Arial" w:hAnsi="Arial" w:cs="Arial"/>
                <w:b/>
                <w:sz w:val="24"/>
                <w:szCs w:val="24"/>
              </w:rPr>
            </w:pPr>
            <w:r>
              <w:rPr>
                <w:rFonts w:ascii="Arial" w:hAnsi="Arial" w:cs="Arial"/>
                <w:sz w:val="24"/>
                <w:szCs w:val="24"/>
              </w:rPr>
              <w:t xml:space="preserve">Attach standard infusion set </w:t>
            </w:r>
          </w:p>
          <w:p w:rsidR="000C1A6E" w:rsidRPr="00E11D36" w:rsidRDefault="000C1A6E" w:rsidP="00697BE7">
            <w:pPr>
              <w:rPr>
                <w:sz w:val="12"/>
                <w:szCs w:val="24"/>
              </w:rPr>
            </w:pPr>
          </w:p>
        </w:tc>
      </w:tr>
      <w:tr w:rsidR="000C1A6E" w:rsidTr="00697BE7">
        <w:tc>
          <w:tcPr>
            <w:tcW w:w="11023" w:type="dxa"/>
          </w:tcPr>
          <w:p w:rsidR="000C1A6E" w:rsidRPr="00A82BEB" w:rsidRDefault="000C1A6E" w:rsidP="00697BE7">
            <w:pPr>
              <w:rPr>
                <w:rFonts w:ascii="Arial" w:hAnsi="Arial" w:cs="Arial"/>
                <w:bCs/>
                <w:sz w:val="24"/>
                <w:szCs w:val="24"/>
              </w:rPr>
            </w:pPr>
            <w:r w:rsidRPr="00A82BEB">
              <w:rPr>
                <w:rFonts w:ascii="Arial" w:hAnsi="Arial" w:cs="Arial"/>
                <w:bCs/>
                <w:sz w:val="24"/>
                <w:szCs w:val="24"/>
              </w:rPr>
              <w:t xml:space="preserve">Notes: </w:t>
            </w:r>
          </w:p>
          <w:p w:rsidR="000C1A6E" w:rsidRDefault="000C1A6E" w:rsidP="00697BE7">
            <w:pPr>
              <w:rPr>
                <w:sz w:val="18"/>
                <w:szCs w:val="18"/>
              </w:rPr>
            </w:pPr>
            <w:r w:rsidRPr="00A82BEB">
              <w:rPr>
                <w:rFonts w:ascii="Arial" w:hAnsi="Arial" w:cs="Arial"/>
                <w:bCs/>
                <w:sz w:val="24"/>
                <w:szCs w:val="24"/>
              </w:rPr>
              <w:t>Only use solutions that are clear</w:t>
            </w:r>
            <w:r>
              <w:rPr>
                <w:rFonts w:ascii="Arial" w:hAnsi="Arial" w:cs="Arial"/>
                <w:bCs/>
                <w:sz w:val="24"/>
                <w:szCs w:val="24"/>
              </w:rPr>
              <w:t xml:space="preserve">, </w:t>
            </w:r>
            <w:proofErr w:type="spellStart"/>
            <w:r w:rsidRPr="00A82BEB">
              <w:rPr>
                <w:rFonts w:ascii="Arial" w:hAnsi="Arial" w:cs="Arial"/>
                <w:bCs/>
                <w:sz w:val="24"/>
                <w:szCs w:val="24"/>
              </w:rPr>
              <w:t>colourless</w:t>
            </w:r>
            <w:proofErr w:type="spellEnd"/>
            <w:r w:rsidRPr="00A82BEB">
              <w:rPr>
                <w:rFonts w:ascii="Arial" w:hAnsi="Arial" w:cs="Arial"/>
                <w:bCs/>
                <w:sz w:val="24"/>
                <w:szCs w:val="24"/>
              </w:rPr>
              <w:t xml:space="preserve"> to pale yellow </w:t>
            </w:r>
            <w:r>
              <w:rPr>
                <w:rFonts w:ascii="Arial" w:hAnsi="Arial" w:cs="Arial"/>
                <w:bCs/>
                <w:sz w:val="24"/>
                <w:szCs w:val="24"/>
              </w:rPr>
              <w:t xml:space="preserve">and </w:t>
            </w:r>
            <w:r w:rsidRPr="00A82BEB">
              <w:rPr>
                <w:rFonts w:ascii="Arial" w:hAnsi="Arial" w:cs="Arial"/>
                <w:bCs/>
                <w:sz w:val="24"/>
                <w:szCs w:val="24"/>
              </w:rPr>
              <w:t>particle free</w:t>
            </w:r>
            <w:r>
              <w:rPr>
                <w:rFonts w:ascii="Arial" w:hAnsi="Arial" w:cs="Arial"/>
                <w:bCs/>
                <w:sz w:val="24"/>
                <w:szCs w:val="24"/>
              </w:rPr>
              <w:t>. Dispose of any waste in a standard sharps bin.</w:t>
            </w:r>
          </w:p>
        </w:tc>
      </w:tr>
    </w:tbl>
    <w:p w:rsidR="000C1A6E" w:rsidRDefault="000C1A6E" w:rsidP="000C1A6E">
      <w:pPr>
        <w:rPr>
          <w:rFonts w:ascii="Arial" w:hAnsi="Arial" w:cs="Arial"/>
          <w:b/>
          <w:sz w:val="24"/>
          <w:szCs w:val="24"/>
        </w:rPr>
      </w:pPr>
    </w:p>
    <w:p w:rsidR="000C1A6E" w:rsidRPr="0014749A" w:rsidRDefault="000C1A6E" w:rsidP="000C1A6E">
      <w:pPr>
        <w:rPr>
          <w:rFonts w:ascii="Arial" w:hAnsi="Arial" w:cs="Arial"/>
          <w:b/>
          <w:sz w:val="24"/>
          <w:szCs w:val="24"/>
        </w:rPr>
      </w:pPr>
      <w:r w:rsidRPr="0014749A">
        <w:rPr>
          <w:rFonts w:ascii="Arial" w:hAnsi="Arial" w:cs="Arial"/>
          <w:b/>
          <w:sz w:val="24"/>
          <w:szCs w:val="24"/>
        </w:rPr>
        <w:t>Expiry</w:t>
      </w:r>
    </w:p>
    <w:tbl>
      <w:tblPr>
        <w:tblW w:w="109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1"/>
      </w:tblGrid>
      <w:tr w:rsidR="000C1A6E" w:rsidTr="00697BE7">
        <w:trPr>
          <w:trHeight w:val="367"/>
        </w:trPr>
        <w:tc>
          <w:tcPr>
            <w:tcW w:w="10971" w:type="dxa"/>
          </w:tcPr>
          <w:p w:rsidR="000C1A6E" w:rsidRPr="00E11D36" w:rsidRDefault="000C1A6E" w:rsidP="00697BE7">
            <w:pPr>
              <w:rPr>
                <w:rFonts w:ascii="Arial" w:hAnsi="Arial" w:cs="Arial"/>
                <w:sz w:val="18"/>
                <w:szCs w:val="24"/>
              </w:rPr>
            </w:pPr>
            <w:r w:rsidRPr="00A82BEB">
              <w:rPr>
                <w:rFonts w:ascii="Arial" w:hAnsi="Arial" w:cs="Arial"/>
                <w:sz w:val="24"/>
                <w:szCs w:val="24"/>
              </w:rPr>
              <w:t>For immediate use</w:t>
            </w:r>
          </w:p>
        </w:tc>
      </w:tr>
    </w:tbl>
    <w:p w:rsidR="000C1A6E" w:rsidRDefault="000C1A6E" w:rsidP="000C1A6E">
      <w:pPr>
        <w:rPr>
          <w:rFonts w:ascii="Arial" w:hAnsi="Arial" w:cs="Arial"/>
          <w:b/>
          <w:sz w:val="24"/>
          <w:szCs w:val="24"/>
        </w:rPr>
      </w:pPr>
    </w:p>
    <w:p w:rsidR="000C1A6E" w:rsidRPr="0014749A" w:rsidRDefault="000C1A6E" w:rsidP="000C1A6E">
      <w:pPr>
        <w:rPr>
          <w:rFonts w:ascii="Arial" w:hAnsi="Arial" w:cs="Arial"/>
          <w:b/>
          <w:sz w:val="24"/>
          <w:szCs w:val="24"/>
        </w:rPr>
      </w:pPr>
      <w:r w:rsidRPr="0014749A">
        <w:rPr>
          <w:rFonts w:ascii="Arial" w:hAnsi="Arial" w:cs="Arial"/>
          <w:b/>
          <w:sz w:val="24"/>
          <w:szCs w:val="24"/>
        </w:rPr>
        <w:lastRenderedPageBreak/>
        <w:t>Administration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0C1A6E" w:rsidRPr="00161EE5" w:rsidTr="00697BE7">
        <w:trPr>
          <w:trHeight w:val="733"/>
        </w:trPr>
        <w:tc>
          <w:tcPr>
            <w:tcW w:w="11023" w:type="dxa"/>
            <w:shd w:val="clear" w:color="auto" w:fill="auto"/>
          </w:tcPr>
          <w:p w:rsidR="000C1A6E" w:rsidRPr="0014749A" w:rsidRDefault="000C1A6E" w:rsidP="00697BE7">
            <w:pPr>
              <w:rPr>
                <w:rFonts w:ascii="Arial" w:hAnsi="Arial" w:cs="Arial"/>
                <w:b/>
                <w:sz w:val="24"/>
                <w:szCs w:val="24"/>
              </w:rPr>
            </w:pPr>
            <w:r w:rsidRPr="0014749A">
              <w:rPr>
                <w:rFonts w:ascii="Arial" w:hAnsi="Arial" w:cs="Arial"/>
                <w:b/>
                <w:sz w:val="24"/>
                <w:szCs w:val="24"/>
              </w:rPr>
              <w:t>Infuse over 1 hour</w:t>
            </w:r>
          </w:p>
          <w:p w:rsidR="000C1A6E" w:rsidRPr="0014749A" w:rsidRDefault="000C1A6E" w:rsidP="00697BE7">
            <w:pPr>
              <w:rPr>
                <w:rFonts w:ascii="Arial" w:hAnsi="Arial" w:cs="Arial"/>
                <w:sz w:val="24"/>
                <w:szCs w:val="24"/>
              </w:rPr>
            </w:pPr>
            <w:r w:rsidRPr="0014749A">
              <w:rPr>
                <w:rFonts w:ascii="Arial" w:hAnsi="Arial" w:cs="Arial"/>
                <w:sz w:val="24"/>
                <w:szCs w:val="24"/>
              </w:rPr>
              <w:t>Monitor for hypersensitivity reactions during infusion and for 1 hour post infusion</w:t>
            </w:r>
          </w:p>
          <w:p w:rsidR="000C1A6E" w:rsidRPr="00E655B6" w:rsidRDefault="000C1A6E" w:rsidP="00697BE7">
            <w:pPr>
              <w:rPr>
                <w:rFonts w:ascii="Arial" w:hAnsi="Arial" w:cs="Arial"/>
                <w:sz w:val="28"/>
                <w:szCs w:val="28"/>
              </w:rPr>
            </w:pPr>
            <w:r w:rsidRPr="0014749A">
              <w:rPr>
                <w:rFonts w:ascii="Arial" w:hAnsi="Arial" w:cs="Arial"/>
                <w:sz w:val="24"/>
                <w:szCs w:val="24"/>
              </w:rPr>
              <w:t>Flush line with sodium chloride 0.9%</w:t>
            </w:r>
          </w:p>
        </w:tc>
      </w:tr>
    </w:tbl>
    <w:p w:rsidR="000C1A6E" w:rsidRPr="00900E0E" w:rsidRDefault="000C1A6E" w:rsidP="000C1A6E">
      <w:pPr>
        <w:rPr>
          <w:rFonts w:ascii="Arial" w:hAnsi="Arial" w:cs="Arial"/>
          <w:b/>
          <w:szCs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82"/>
        <w:gridCol w:w="1530"/>
        <w:gridCol w:w="1724"/>
        <w:gridCol w:w="1984"/>
        <w:gridCol w:w="2142"/>
        <w:gridCol w:w="835"/>
      </w:tblGrid>
      <w:tr w:rsidR="000C1A6E" w:rsidRPr="0014749A" w:rsidTr="00697BE7">
        <w:trPr>
          <w:cantSplit/>
        </w:trPr>
        <w:tc>
          <w:tcPr>
            <w:tcW w:w="1560" w:type="dxa"/>
          </w:tcPr>
          <w:p w:rsidR="000C1A6E" w:rsidRPr="0014749A" w:rsidRDefault="000C1A6E" w:rsidP="00697BE7">
            <w:pPr>
              <w:pStyle w:val="Footer"/>
              <w:rPr>
                <w:rFonts w:ascii="Arial" w:hAnsi="Arial" w:cs="Arial"/>
              </w:rPr>
            </w:pPr>
            <w:r w:rsidRPr="0014749A">
              <w:rPr>
                <w:rFonts w:ascii="Arial" w:hAnsi="Arial" w:cs="Arial"/>
              </w:rPr>
              <w:t>Effective date</w:t>
            </w:r>
          </w:p>
        </w:tc>
        <w:tc>
          <w:tcPr>
            <w:tcW w:w="1282" w:type="dxa"/>
          </w:tcPr>
          <w:p w:rsidR="000C1A6E" w:rsidRPr="0014749A" w:rsidRDefault="000C1A6E" w:rsidP="00697BE7">
            <w:pPr>
              <w:pStyle w:val="Footer"/>
              <w:rPr>
                <w:rFonts w:ascii="Arial" w:hAnsi="Arial" w:cs="Arial"/>
              </w:rPr>
            </w:pPr>
            <w:r w:rsidRPr="0014749A">
              <w:rPr>
                <w:rFonts w:ascii="Arial" w:hAnsi="Arial" w:cs="Arial"/>
              </w:rPr>
              <w:t>Revision date</w:t>
            </w:r>
          </w:p>
        </w:tc>
        <w:tc>
          <w:tcPr>
            <w:tcW w:w="1530" w:type="dxa"/>
          </w:tcPr>
          <w:p w:rsidR="000C1A6E" w:rsidRPr="0014749A" w:rsidRDefault="000C1A6E" w:rsidP="00697BE7">
            <w:pPr>
              <w:pStyle w:val="Footer"/>
              <w:rPr>
                <w:rFonts w:ascii="Arial" w:hAnsi="Arial" w:cs="Arial"/>
              </w:rPr>
            </w:pPr>
            <w:r w:rsidRPr="0014749A">
              <w:rPr>
                <w:rFonts w:ascii="Arial" w:hAnsi="Arial" w:cs="Arial"/>
              </w:rPr>
              <w:t>Doc Ref</w:t>
            </w:r>
          </w:p>
        </w:tc>
        <w:tc>
          <w:tcPr>
            <w:tcW w:w="1724" w:type="dxa"/>
          </w:tcPr>
          <w:p w:rsidR="000C1A6E" w:rsidRPr="0014749A" w:rsidRDefault="000C1A6E" w:rsidP="00697BE7">
            <w:pPr>
              <w:pStyle w:val="Footer"/>
              <w:rPr>
                <w:rFonts w:ascii="Arial" w:hAnsi="Arial" w:cs="Arial"/>
              </w:rPr>
            </w:pPr>
            <w:r w:rsidRPr="0014749A">
              <w:rPr>
                <w:rFonts w:ascii="Arial" w:hAnsi="Arial" w:cs="Arial"/>
              </w:rPr>
              <w:t>Super</w:t>
            </w:r>
            <w:r>
              <w:rPr>
                <w:rFonts w:ascii="Arial" w:hAnsi="Arial" w:cs="Arial"/>
              </w:rPr>
              <w:t>s</w:t>
            </w:r>
            <w:r w:rsidRPr="0014749A">
              <w:rPr>
                <w:rFonts w:ascii="Arial" w:hAnsi="Arial" w:cs="Arial"/>
              </w:rPr>
              <w:t>edes</w:t>
            </w:r>
          </w:p>
        </w:tc>
        <w:tc>
          <w:tcPr>
            <w:tcW w:w="1984" w:type="dxa"/>
          </w:tcPr>
          <w:p w:rsidR="000C1A6E" w:rsidRPr="0014749A" w:rsidRDefault="000C1A6E" w:rsidP="00697BE7">
            <w:pPr>
              <w:pStyle w:val="Footer"/>
              <w:rPr>
                <w:rFonts w:ascii="Arial" w:hAnsi="Arial" w:cs="Arial"/>
              </w:rPr>
            </w:pPr>
            <w:r w:rsidRPr="0014749A">
              <w:rPr>
                <w:rFonts w:ascii="Arial" w:hAnsi="Arial" w:cs="Arial"/>
              </w:rPr>
              <w:t xml:space="preserve">Aseptic </w:t>
            </w:r>
            <w:proofErr w:type="spellStart"/>
            <w:r w:rsidRPr="0014749A">
              <w:rPr>
                <w:rFonts w:ascii="Arial" w:hAnsi="Arial" w:cs="Arial"/>
              </w:rPr>
              <w:t>Svr</w:t>
            </w:r>
            <w:proofErr w:type="spellEnd"/>
            <w:r w:rsidRPr="0014749A">
              <w:rPr>
                <w:rFonts w:ascii="Arial" w:hAnsi="Arial" w:cs="Arial"/>
              </w:rPr>
              <w:t xml:space="preserve"> </w:t>
            </w:r>
            <w:proofErr w:type="spellStart"/>
            <w:r w:rsidRPr="0014749A">
              <w:rPr>
                <w:rFonts w:ascii="Arial" w:hAnsi="Arial" w:cs="Arial"/>
              </w:rPr>
              <w:t>Mgr</w:t>
            </w:r>
            <w:proofErr w:type="spellEnd"/>
            <w:r w:rsidRPr="0014749A">
              <w:rPr>
                <w:rFonts w:ascii="Arial" w:hAnsi="Arial" w:cs="Arial"/>
              </w:rPr>
              <w:t xml:space="preserve"> Approval</w:t>
            </w:r>
          </w:p>
        </w:tc>
        <w:tc>
          <w:tcPr>
            <w:tcW w:w="2142" w:type="dxa"/>
          </w:tcPr>
          <w:p w:rsidR="000C1A6E" w:rsidRPr="0014749A" w:rsidRDefault="000C1A6E" w:rsidP="00697BE7">
            <w:pPr>
              <w:pStyle w:val="Footer"/>
              <w:rPr>
                <w:rFonts w:ascii="Arial" w:hAnsi="Arial" w:cs="Arial"/>
              </w:rPr>
            </w:pPr>
            <w:r w:rsidRPr="0014749A">
              <w:rPr>
                <w:rFonts w:ascii="Arial" w:hAnsi="Arial" w:cs="Arial"/>
              </w:rPr>
              <w:t xml:space="preserve">Clinical ITU </w:t>
            </w:r>
          </w:p>
          <w:p w:rsidR="000C1A6E" w:rsidRPr="0014749A" w:rsidRDefault="000C1A6E" w:rsidP="00697BE7">
            <w:pPr>
              <w:pStyle w:val="Footer"/>
              <w:rPr>
                <w:rFonts w:ascii="Arial" w:hAnsi="Arial" w:cs="Arial"/>
              </w:rPr>
            </w:pPr>
            <w:r w:rsidRPr="0014749A">
              <w:rPr>
                <w:rFonts w:ascii="Arial" w:hAnsi="Arial" w:cs="Arial"/>
              </w:rPr>
              <w:t>Pharmacist Approval</w:t>
            </w:r>
          </w:p>
        </w:tc>
        <w:tc>
          <w:tcPr>
            <w:tcW w:w="835" w:type="dxa"/>
            <w:vMerge w:val="restart"/>
          </w:tcPr>
          <w:p w:rsidR="000C1A6E" w:rsidRPr="0014749A" w:rsidRDefault="000C1A6E" w:rsidP="00697BE7">
            <w:pPr>
              <w:pStyle w:val="Footer"/>
              <w:rPr>
                <w:rFonts w:ascii="Arial" w:hAnsi="Arial" w:cs="Arial"/>
                <w:snapToGrid w:val="0"/>
                <w:lang w:eastAsia="en-US"/>
              </w:rPr>
            </w:pPr>
            <w:r w:rsidRPr="0014749A">
              <w:rPr>
                <w:rFonts w:ascii="Arial" w:hAnsi="Arial" w:cs="Arial"/>
                <w:snapToGrid w:val="0"/>
                <w:lang w:eastAsia="en-US"/>
              </w:rPr>
              <w:t>Page</w:t>
            </w:r>
          </w:p>
          <w:p w:rsidR="000C1A6E" w:rsidRPr="0014749A" w:rsidRDefault="000C1A6E" w:rsidP="00697BE7">
            <w:pPr>
              <w:pStyle w:val="Footer"/>
              <w:rPr>
                <w:rFonts w:ascii="Arial" w:hAnsi="Arial" w:cs="Arial"/>
              </w:rPr>
            </w:pPr>
            <w:r>
              <w:rPr>
                <w:rFonts w:ascii="Arial" w:hAnsi="Arial" w:cs="Arial"/>
                <w:snapToGrid w:val="0"/>
                <w:lang w:eastAsia="en-US"/>
              </w:rPr>
              <w:t>1</w:t>
            </w:r>
            <w:r w:rsidRPr="0014749A">
              <w:rPr>
                <w:rFonts w:ascii="Arial" w:hAnsi="Arial" w:cs="Arial"/>
                <w:snapToGrid w:val="0"/>
                <w:lang w:eastAsia="en-US"/>
              </w:rPr>
              <w:t xml:space="preserve"> of </w:t>
            </w:r>
            <w:r>
              <w:rPr>
                <w:rFonts w:ascii="Arial" w:hAnsi="Arial" w:cs="Arial"/>
                <w:snapToGrid w:val="0"/>
                <w:lang w:eastAsia="en-US"/>
              </w:rPr>
              <w:t>1</w:t>
            </w:r>
          </w:p>
        </w:tc>
      </w:tr>
      <w:tr w:rsidR="000C1A6E" w:rsidRPr="0014749A" w:rsidTr="00697BE7">
        <w:trPr>
          <w:cantSplit/>
          <w:trHeight w:val="343"/>
        </w:trPr>
        <w:tc>
          <w:tcPr>
            <w:tcW w:w="1560" w:type="dxa"/>
          </w:tcPr>
          <w:p w:rsidR="000C1A6E" w:rsidRPr="0014749A" w:rsidRDefault="000C1A6E" w:rsidP="00697BE7">
            <w:pPr>
              <w:pStyle w:val="Footer"/>
              <w:rPr>
                <w:rFonts w:ascii="Arial" w:hAnsi="Arial" w:cs="Arial"/>
              </w:rPr>
            </w:pPr>
            <w:r>
              <w:rPr>
                <w:rFonts w:ascii="Arial" w:hAnsi="Arial" w:cs="Arial"/>
              </w:rPr>
              <w:t>21</w:t>
            </w:r>
            <w:r w:rsidRPr="0014749A">
              <w:rPr>
                <w:rFonts w:ascii="Arial" w:hAnsi="Arial" w:cs="Arial"/>
              </w:rPr>
              <w:t>.1.2021</w:t>
            </w:r>
          </w:p>
        </w:tc>
        <w:tc>
          <w:tcPr>
            <w:tcW w:w="1282" w:type="dxa"/>
          </w:tcPr>
          <w:p w:rsidR="000C1A6E" w:rsidRPr="0014749A" w:rsidRDefault="000C1A6E" w:rsidP="00697BE7">
            <w:pPr>
              <w:pStyle w:val="Footer"/>
              <w:rPr>
                <w:rFonts w:ascii="Arial" w:hAnsi="Arial" w:cs="Arial"/>
              </w:rPr>
            </w:pPr>
            <w:r w:rsidRPr="0014749A">
              <w:rPr>
                <w:rFonts w:ascii="Arial" w:hAnsi="Arial" w:cs="Arial"/>
              </w:rPr>
              <w:t>01.01.2024</w:t>
            </w:r>
          </w:p>
        </w:tc>
        <w:tc>
          <w:tcPr>
            <w:tcW w:w="1530" w:type="dxa"/>
          </w:tcPr>
          <w:p w:rsidR="000C1A6E" w:rsidRPr="0014749A" w:rsidRDefault="000C1A6E" w:rsidP="00697BE7">
            <w:pPr>
              <w:pStyle w:val="Footer"/>
              <w:rPr>
                <w:rFonts w:ascii="Arial" w:hAnsi="Arial" w:cs="Arial"/>
                <w:bCs/>
              </w:rPr>
            </w:pPr>
            <w:r w:rsidRPr="0014749A">
              <w:rPr>
                <w:rFonts w:ascii="Arial" w:hAnsi="Arial" w:cs="Arial"/>
                <w:bCs/>
              </w:rPr>
              <w:t>Ward.Toc.02</w:t>
            </w:r>
          </w:p>
        </w:tc>
        <w:tc>
          <w:tcPr>
            <w:tcW w:w="1724" w:type="dxa"/>
          </w:tcPr>
          <w:p w:rsidR="000C1A6E" w:rsidRPr="0014749A" w:rsidRDefault="000C1A6E" w:rsidP="00697BE7">
            <w:pPr>
              <w:pStyle w:val="Footer"/>
              <w:rPr>
                <w:rFonts w:ascii="Arial" w:hAnsi="Arial" w:cs="Arial"/>
              </w:rPr>
            </w:pPr>
          </w:p>
        </w:tc>
        <w:tc>
          <w:tcPr>
            <w:tcW w:w="1984" w:type="dxa"/>
          </w:tcPr>
          <w:p w:rsidR="000C1A6E" w:rsidRPr="0014749A" w:rsidRDefault="000C1A6E" w:rsidP="00697BE7">
            <w:pPr>
              <w:pStyle w:val="Footer"/>
              <w:rPr>
                <w:rFonts w:ascii="Arial" w:hAnsi="Arial" w:cs="Arial"/>
              </w:rPr>
            </w:pPr>
          </w:p>
          <w:p w:rsidR="000C1A6E" w:rsidRPr="0014749A" w:rsidRDefault="000C1A6E" w:rsidP="00697BE7">
            <w:pPr>
              <w:pStyle w:val="Footer"/>
              <w:rPr>
                <w:rFonts w:ascii="Arial" w:hAnsi="Arial" w:cs="Arial"/>
              </w:rPr>
            </w:pPr>
          </w:p>
        </w:tc>
        <w:tc>
          <w:tcPr>
            <w:tcW w:w="2142" w:type="dxa"/>
          </w:tcPr>
          <w:p w:rsidR="000C1A6E" w:rsidRPr="0014749A" w:rsidRDefault="000C1A6E" w:rsidP="00697BE7">
            <w:pPr>
              <w:pStyle w:val="Footer"/>
              <w:rPr>
                <w:rFonts w:ascii="Arial" w:hAnsi="Arial" w:cs="Arial"/>
              </w:rPr>
            </w:pPr>
          </w:p>
        </w:tc>
        <w:tc>
          <w:tcPr>
            <w:tcW w:w="835" w:type="dxa"/>
            <w:vMerge/>
          </w:tcPr>
          <w:p w:rsidR="000C1A6E" w:rsidRPr="0014749A" w:rsidRDefault="000C1A6E" w:rsidP="00697BE7">
            <w:pPr>
              <w:pStyle w:val="Footer"/>
              <w:rPr>
                <w:rFonts w:ascii="Arial" w:hAnsi="Arial" w:cs="Arial"/>
              </w:rPr>
            </w:pPr>
          </w:p>
        </w:tc>
      </w:tr>
    </w:tbl>
    <w:p w:rsidR="000C1A6E" w:rsidRDefault="000C1A6E" w:rsidP="000C1A6E">
      <w:pPr>
        <w:rPr>
          <w:rFonts w:ascii="Arial" w:hAnsi="Arial" w:cs="Arial"/>
          <w:b/>
          <w:sz w:val="22"/>
          <w:szCs w:val="28"/>
        </w:rPr>
      </w:pPr>
    </w:p>
    <w:p w:rsidR="000C1A6E" w:rsidRDefault="000C1A6E" w:rsidP="00D43AB2">
      <w:pPr>
        <w:pStyle w:val="Default"/>
        <w:rPr>
          <w:b/>
          <w:sz w:val="22"/>
          <w:szCs w:val="28"/>
        </w:rPr>
      </w:pPr>
    </w:p>
    <w:p w:rsidR="000C1A6E" w:rsidRPr="00CC36A0" w:rsidRDefault="000C1A6E" w:rsidP="000C1A6E">
      <w:pPr>
        <w:pStyle w:val="Default"/>
        <w:rPr>
          <w:b/>
          <w:bCs/>
          <w:sz w:val="22"/>
          <w:szCs w:val="28"/>
        </w:rPr>
      </w:pPr>
      <w:r w:rsidRPr="00CC36A0">
        <w:rPr>
          <w:b/>
          <w:bCs/>
          <w:sz w:val="22"/>
          <w:szCs w:val="28"/>
        </w:rPr>
        <w:t>Process for prescribing and authorising the supply of Tociliz</w:t>
      </w:r>
      <w:r w:rsidR="00F80312">
        <w:rPr>
          <w:b/>
          <w:bCs/>
          <w:sz w:val="22"/>
          <w:szCs w:val="28"/>
        </w:rPr>
        <w:t>umab for patients admitted to a</w:t>
      </w:r>
      <w:r w:rsidRPr="00CC36A0">
        <w:rPr>
          <w:b/>
          <w:bCs/>
          <w:sz w:val="22"/>
          <w:szCs w:val="28"/>
        </w:rPr>
        <w:t xml:space="preserve"> High Dependency setting on Farley RCU with COVID 19 pneumonia </w:t>
      </w:r>
    </w:p>
    <w:p w:rsidR="000C1A6E" w:rsidRPr="00CC36A0" w:rsidRDefault="000C1A6E" w:rsidP="000C1A6E">
      <w:pPr>
        <w:pStyle w:val="Default"/>
        <w:rPr>
          <w:b/>
          <w:sz w:val="22"/>
          <w:szCs w:val="22"/>
          <w:u w:val="single"/>
          <w:lang w:eastAsia="en-US"/>
        </w:rPr>
      </w:pPr>
    </w:p>
    <w:p w:rsidR="000C1A6E" w:rsidRDefault="00F87A2E" w:rsidP="000C1A6E">
      <w:pPr>
        <w:pStyle w:val="Default"/>
        <w:rPr>
          <w:sz w:val="18"/>
          <w:szCs w:val="22"/>
        </w:rPr>
      </w:pPr>
      <w:proofErr w:type="gramStart"/>
      <w:r w:rsidRPr="00A03F1D">
        <w:rPr>
          <w:b/>
          <w:sz w:val="20"/>
          <w:szCs w:val="22"/>
          <w:u w:val="single"/>
          <w:lang w:eastAsia="en-US"/>
        </w:rPr>
        <w:t>Eligibility</w:t>
      </w:r>
      <w:r w:rsidR="000C1A6E" w:rsidRPr="00586039">
        <w:rPr>
          <w:sz w:val="20"/>
          <w:szCs w:val="22"/>
        </w:rPr>
        <w:t xml:space="preserve"> </w:t>
      </w:r>
      <w:r w:rsidR="000C1A6E" w:rsidRPr="00A03F1D">
        <w:rPr>
          <w:sz w:val="18"/>
          <w:szCs w:val="22"/>
        </w:rPr>
        <w:t>:</w:t>
      </w:r>
      <w:proofErr w:type="gramEnd"/>
      <w:r w:rsidR="000C1A6E" w:rsidRPr="00A03F1D">
        <w:rPr>
          <w:sz w:val="18"/>
          <w:szCs w:val="22"/>
        </w:rPr>
        <w:t>-</w:t>
      </w:r>
    </w:p>
    <w:p w:rsidR="000C1A6E" w:rsidRDefault="000C1A6E" w:rsidP="000C1A6E">
      <w:pPr>
        <w:pStyle w:val="Default"/>
        <w:rPr>
          <w:sz w:val="18"/>
          <w:szCs w:val="22"/>
        </w:rPr>
      </w:pPr>
    </w:p>
    <w:p w:rsidR="008856EE" w:rsidRDefault="008856EE" w:rsidP="002B29E3">
      <w:pPr>
        <w:autoSpaceDE w:val="0"/>
        <w:autoSpaceDN w:val="0"/>
        <w:adjustRightInd w:val="0"/>
        <w:rPr>
          <w:rFonts w:ascii="Arial" w:hAnsi="Arial" w:cs="Arial"/>
          <w:color w:val="000000"/>
          <w:szCs w:val="22"/>
          <w:lang w:val="en-GB"/>
        </w:rPr>
      </w:pPr>
      <w:r w:rsidRPr="00F87A2E">
        <w:rPr>
          <w:rFonts w:ascii="Arial" w:hAnsi="Arial" w:cs="Arial"/>
        </w:rPr>
        <w:t xml:space="preserve">The </w:t>
      </w:r>
      <w:r w:rsidR="000C1A6E" w:rsidRPr="00244DE1">
        <w:rPr>
          <w:rFonts w:ascii="Arial" w:hAnsi="Arial" w:cs="Arial"/>
          <w:color w:val="000000"/>
        </w:rPr>
        <w:t xml:space="preserve">patient is an adult who is hospitalised </w:t>
      </w:r>
      <w:r>
        <w:t xml:space="preserve">with </w:t>
      </w:r>
      <w:r w:rsidRPr="00586039">
        <w:rPr>
          <w:rFonts w:ascii="Arial" w:hAnsi="Arial" w:cs="Arial"/>
          <w:color w:val="000000"/>
          <w:szCs w:val="22"/>
          <w:lang w:val="en-GB"/>
        </w:rPr>
        <w:t xml:space="preserve">COVID-19 infection confirmed by microbiological testing or where a </w:t>
      </w:r>
      <w:r w:rsidRPr="00A03F1D">
        <w:rPr>
          <w:rFonts w:ascii="Arial" w:hAnsi="Arial" w:cs="Arial"/>
          <w:color w:val="000000"/>
          <w:szCs w:val="22"/>
          <w:lang w:val="en-GB"/>
        </w:rPr>
        <w:t xml:space="preserve">MDT </w:t>
      </w:r>
      <w:r w:rsidRPr="00586039">
        <w:rPr>
          <w:rFonts w:ascii="Arial" w:hAnsi="Arial" w:cs="Arial"/>
          <w:color w:val="000000"/>
          <w:szCs w:val="22"/>
          <w:lang w:val="en-GB"/>
        </w:rPr>
        <w:t xml:space="preserve">has a high level of confidence that the clinical </w:t>
      </w:r>
      <w:r w:rsidRPr="00A03F1D">
        <w:rPr>
          <w:rFonts w:ascii="Arial" w:hAnsi="Arial" w:cs="Arial"/>
          <w:color w:val="000000"/>
          <w:szCs w:val="22"/>
          <w:lang w:val="en-GB"/>
        </w:rPr>
        <w:t>/</w:t>
      </w:r>
      <w:r w:rsidRPr="00586039">
        <w:rPr>
          <w:rFonts w:ascii="Arial" w:hAnsi="Arial" w:cs="Arial"/>
          <w:color w:val="000000"/>
          <w:szCs w:val="22"/>
          <w:lang w:val="en-GB"/>
        </w:rPr>
        <w:t xml:space="preserve"> radiological fe</w:t>
      </w:r>
      <w:r w:rsidRPr="00A03F1D">
        <w:rPr>
          <w:rFonts w:ascii="Arial" w:hAnsi="Arial" w:cs="Arial"/>
          <w:color w:val="000000"/>
          <w:szCs w:val="22"/>
          <w:lang w:val="en-GB"/>
        </w:rPr>
        <w:t>atures suggest that COVID-19 is the most likely diagnosis</w:t>
      </w:r>
    </w:p>
    <w:p w:rsidR="008856EE" w:rsidRPr="00A03F1D" w:rsidRDefault="008856EE" w:rsidP="008856EE">
      <w:pPr>
        <w:autoSpaceDE w:val="0"/>
        <w:autoSpaceDN w:val="0"/>
        <w:adjustRightInd w:val="0"/>
        <w:ind w:left="360"/>
        <w:rPr>
          <w:rFonts w:ascii="Arial" w:hAnsi="Arial" w:cs="Arial"/>
          <w:color w:val="000000"/>
          <w:szCs w:val="22"/>
          <w:lang w:val="en-GB"/>
        </w:rPr>
      </w:pPr>
    </w:p>
    <w:p w:rsidR="008856EE" w:rsidRDefault="008856EE" w:rsidP="000C1A6E">
      <w:pPr>
        <w:pStyle w:val="Default"/>
        <w:rPr>
          <w:rFonts w:eastAsia="Times New Roman"/>
          <w:sz w:val="20"/>
          <w:szCs w:val="20"/>
        </w:rPr>
      </w:pPr>
      <w:r>
        <w:rPr>
          <w:rFonts w:eastAsia="Times New Roman"/>
          <w:sz w:val="20"/>
          <w:szCs w:val="20"/>
        </w:rPr>
        <w:t xml:space="preserve">Patient is </w:t>
      </w:r>
      <w:r w:rsidR="000C1A6E" w:rsidRPr="00244DE1">
        <w:rPr>
          <w:rFonts w:eastAsia="Times New Roman"/>
          <w:sz w:val="20"/>
          <w:szCs w:val="20"/>
        </w:rPr>
        <w:t>receiving dexamethasone or an equivalent corticosteroid (unless contra-indicated)</w:t>
      </w:r>
      <w:r>
        <w:rPr>
          <w:rFonts w:eastAsia="Times New Roman"/>
          <w:sz w:val="20"/>
          <w:szCs w:val="20"/>
        </w:rPr>
        <w:t xml:space="preserve">.  </w:t>
      </w:r>
      <w:r w:rsidRPr="00244DE1">
        <w:rPr>
          <w:rFonts w:eastAsia="Times New Roman"/>
          <w:sz w:val="20"/>
          <w:szCs w:val="20"/>
        </w:rPr>
        <w:t>Patients are expected to be on a corticosteroid as the current standard of care, except where there is a strong contraindication against its use. Patients may be commenced on both a corticosteroid and tocilizumab simultaneously if deemed clinically appropriate</w:t>
      </w:r>
    </w:p>
    <w:p w:rsidR="008856EE" w:rsidRDefault="008856EE" w:rsidP="000C1A6E">
      <w:pPr>
        <w:pStyle w:val="Default"/>
        <w:rPr>
          <w:rFonts w:eastAsia="Times New Roman"/>
          <w:sz w:val="20"/>
          <w:szCs w:val="20"/>
        </w:rPr>
      </w:pPr>
    </w:p>
    <w:p w:rsidR="008856EE" w:rsidRPr="00A03F1D" w:rsidRDefault="008856EE" w:rsidP="002B29E3">
      <w:pPr>
        <w:spacing w:after="200" w:line="276" w:lineRule="auto"/>
        <w:rPr>
          <w:rFonts w:ascii="Arial" w:eastAsia="Calibri" w:hAnsi="Arial" w:cs="Arial"/>
          <w:szCs w:val="22"/>
          <w:lang w:val="en-GB" w:eastAsia="en-US"/>
        </w:rPr>
      </w:pPr>
      <w:r w:rsidRPr="00A03F1D">
        <w:rPr>
          <w:rFonts w:ascii="Arial" w:hAnsi="Arial" w:cs="Arial"/>
          <w:color w:val="000000"/>
          <w:szCs w:val="22"/>
          <w:lang w:val="en-GB"/>
        </w:rPr>
        <w:t xml:space="preserve">The decision to treat with tocilizumab should be made by two consultants, of whom one should be experienced in respiratory support. </w:t>
      </w:r>
      <w:r w:rsidRPr="00A03F1D">
        <w:rPr>
          <w:rFonts w:ascii="Arial" w:eastAsia="Calibri" w:hAnsi="Arial" w:cs="Arial"/>
          <w:szCs w:val="22"/>
          <w:lang w:val="en-GB" w:eastAsia="en-US"/>
        </w:rPr>
        <w:t>The prescribing consultant on RCU in working hours will usually be a Respiratory Consultant (or on advice of ICU consultant for some patients).</w:t>
      </w:r>
    </w:p>
    <w:p w:rsidR="006147B1" w:rsidRDefault="006147B1" w:rsidP="008856EE">
      <w:pPr>
        <w:pStyle w:val="Default"/>
        <w:rPr>
          <w:rFonts w:eastAsia="Times New Roman"/>
          <w:sz w:val="20"/>
          <w:szCs w:val="20"/>
        </w:rPr>
      </w:pPr>
    </w:p>
    <w:p w:rsidR="000C1A6E" w:rsidRPr="00A03F1D" w:rsidRDefault="008856EE" w:rsidP="008856EE">
      <w:pPr>
        <w:pStyle w:val="Default"/>
        <w:rPr>
          <w:szCs w:val="22"/>
          <w:lang w:eastAsia="en-US"/>
        </w:rPr>
      </w:pPr>
      <w:r>
        <w:rPr>
          <w:rFonts w:eastAsia="Times New Roman"/>
          <w:sz w:val="20"/>
          <w:szCs w:val="20"/>
        </w:rPr>
        <w:t>Option 1 or 2 below must apply</w:t>
      </w:r>
      <w:proofErr w:type="gramStart"/>
      <w:r>
        <w:rPr>
          <w:rFonts w:eastAsia="Times New Roman"/>
          <w:sz w:val="20"/>
          <w:szCs w:val="20"/>
        </w:rPr>
        <w:t>:</w:t>
      </w:r>
      <w:proofErr w:type="gramEnd"/>
      <w:r w:rsidR="000C1A6E" w:rsidRPr="00244DE1">
        <w:rPr>
          <w:rFonts w:eastAsia="Times New Roman"/>
          <w:sz w:val="20"/>
          <w:szCs w:val="20"/>
        </w:rPr>
        <w:br/>
      </w:r>
      <w:r w:rsidR="000C1A6E" w:rsidRPr="00244DE1">
        <w:rPr>
          <w:rFonts w:eastAsia="Times New Roman"/>
          <w:sz w:val="20"/>
          <w:szCs w:val="20"/>
        </w:rPr>
        <w:br/>
      </w:r>
      <w:r w:rsidR="000C1A6E" w:rsidRPr="00244DE1">
        <w:rPr>
          <w:rFonts w:eastAsia="Times New Roman"/>
          <w:b/>
          <w:bCs/>
          <w:sz w:val="20"/>
          <w:szCs w:val="20"/>
        </w:rPr>
        <w:t>Option 1:</w:t>
      </w:r>
      <w:r w:rsidR="000C1A6E" w:rsidRPr="00244DE1">
        <w:rPr>
          <w:rFonts w:eastAsia="Times New Roman"/>
          <w:sz w:val="20"/>
          <w:szCs w:val="20"/>
        </w:rPr>
        <w:br/>
      </w:r>
      <w:r w:rsidR="000C1A6E" w:rsidRPr="00244DE1">
        <w:rPr>
          <w:rFonts w:eastAsia="Times New Roman"/>
          <w:sz w:val="20"/>
          <w:szCs w:val="20"/>
        </w:rPr>
        <w:br/>
        <w:t>Has a C-reactive protein level of at least 75mg/L; AND an oxygen saturation of &lt;92% on room air OR requirement for supplemental oxygen </w:t>
      </w:r>
      <w:r w:rsidR="000C1A6E" w:rsidRPr="00244DE1">
        <w:rPr>
          <w:rFonts w:eastAsia="Times New Roman"/>
          <w:b/>
          <w:bCs/>
          <w:sz w:val="20"/>
          <w:szCs w:val="20"/>
        </w:rPr>
        <w:t>OR</w:t>
      </w:r>
      <w:r w:rsidR="000C1A6E" w:rsidRPr="00244DE1">
        <w:rPr>
          <w:rFonts w:eastAsia="Times New Roman"/>
          <w:sz w:val="20"/>
          <w:szCs w:val="20"/>
        </w:rPr>
        <w:br/>
      </w:r>
      <w:r w:rsidR="000C1A6E" w:rsidRPr="00244DE1">
        <w:rPr>
          <w:rFonts w:eastAsia="Times New Roman"/>
          <w:sz w:val="20"/>
          <w:szCs w:val="20"/>
        </w:rPr>
        <w:br/>
      </w:r>
      <w:r w:rsidR="000C1A6E" w:rsidRPr="00244DE1">
        <w:rPr>
          <w:rFonts w:eastAsia="Times New Roman"/>
          <w:b/>
          <w:bCs/>
          <w:sz w:val="20"/>
          <w:szCs w:val="20"/>
        </w:rPr>
        <w:t>Option 2:</w:t>
      </w:r>
      <w:r w:rsidR="000C1A6E" w:rsidRPr="00244DE1">
        <w:rPr>
          <w:rFonts w:eastAsia="Times New Roman"/>
          <w:sz w:val="20"/>
          <w:szCs w:val="20"/>
        </w:rPr>
        <w:br/>
      </w:r>
      <w:r w:rsidR="000C1A6E" w:rsidRPr="00244DE1">
        <w:rPr>
          <w:rFonts w:eastAsia="Times New Roman"/>
          <w:sz w:val="20"/>
          <w:szCs w:val="20"/>
        </w:rPr>
        <w:br/>
        <w:t>The patient Is within 24-48 hours</w:t>
      </w:r>
      <w:r>
        <w:rPr>
          <w:rFonts w:eastAsia="Times New Roman"/>
          <w:sz w:val="20"/>
          <w:szCs w:val="20"/>
        </w:rPr>
        <w:t xml:space="preserve"> o</w:t>
      </w:r>
      <w:r w:rsidR="000C1A6E" w:rsidRPr="00244DE1">
        <w:rPr>
          <w:rFonts w:eastAsia="Times New Roman"/>
          <w:sz w:val="20"/>
          <w:szCs w:val="20"/>
        </w:rPr>
        <w:t>f commencement of respiratory support (high-flow nasal oxygen, continuous positive airway pressure (CPAP) or non-invasive ventilation, or invasive mechanical ventilation)</w:t>
      </w:r>
      <w:r w:rsidR="002B29E3">
        <w:rPr>
          <w:rFonts w:eastAsia="Times New Roman"/>
          <w:sz w:val="20"/>
          <w:szCs w:val="20"/>
        </w:rPr>
        <w:t xml:space="preserve"> </w:t>
      </w:r>
      <w:r w:rsidR="002B29E3" w:rsidRPr="00244DE1">
        <w:rPr>
          <w:rFonts w:eastAsia="Times New Roman"/>
          <w:sz w:val="20"/>
          <w:szCs w:val="20"/>
        </w:rPr>
        <w:t>The principle is to treat patients as early as possible in their critical illness</w:t>
      </w:r>
      <w:r w:rsidR="00D43AB2">
        <w:rPr>
          <w:rFonts w:eastAsia="Times New Roman"/>
          <w:sz w:val="20"/>
          <w:szCs w:val="20"/>
        </w:rPr>
        <w:br/>
      </w:r>
    </w:p>
    <w:p w:rsidR="006147B1" w:rsidRDefault="006147B1" w:rsidP="000C1A6E">
      <w:pPr>
        <w:autoSpaceDE w:val="0"/>
        <w:autoSpaceDN w:val="0"/>
        <w:adjustRightInd w:val="0"/>
        <w:rPr>
          <w:rFonts w:ascii="Arial" w:hAnsi="Arial" w:cs="Arial"/>
          <w:b/>
          <w:bCs/>
          <w:color w:val="000000"/>
          <w:szCs w:val="22"/>
          <w:lang w:val="en-GB"/>
        </w:rPr>
      </w:pPr>
    </w:p>
    <w:p w:rsidR="000C1A6E" w:rsidRPr="00A03F1D" w:rsidRDefault="000C1A6E" w:rsidP="000C1A6E">
      <w:pPr>
        <w:autoSpaceDE w:val="0"/>
        <w:autoSpaceDN w:val="0"/>
        <w:adjustRightInd w:val="0"/>
        <w:rPr>
          <w:rFonts w:ascii="Arial" w:hAnsi="Arial" w:cs="Arial"/>
          <w:color w:val="000000"/>
          <w:szCs w:val="22"/>
          <w:lang w:val="en-GB"/>
        </w:rPr>
      </w:pPr>
      <w:r w:rsidRPr="00A03F1D">
        <w:rPr>
          <w:rFonts w:ascii="Arial" w:hAnsi="Arial" w:cs="Arial"/>
          <w:b/>
          <w:bCs/>
          <w:color w:val="000000"/>
          <w:szCs w:val="22"/>
          <w:lang w:val="en-GB"/>
        </w:rPr>
        <w:t xml:space="preserve">Exclusion criteria </w:t>
      </w:r>
    </w:p>
    <w:p w:rsidR="000C1A6E" w:rsidRPr="00A03F1D" w:rsidRDefault="000C1A6E" w:rsidP="000C1A6E">
      <w:pPr>
        <w:autoSpaceDE w:val="0"/>
        <w:autoSpaceDN w:val="0"/>
        <w:adjustRightInd w:val="0"/>
        <w:rPr>
          <w:rFonts w:ascii="Arial" w:hAnsi="Arial" w:cs="Arial"/>
          <w:color w:val="000000"/>
          <w:szCs w:val="22"/>
          <w:lang w:val="en-GB"/>
        </w:rPr>
      </w:pPr>
      <w:r w:rsidRPr="00A03F1D">
        <w:rPr>
          <w:rFonts w:ascii="Arial" w:hAnsi="Arial" w:cs="Arial"/>
          <w:color w:val="000000"/>
          <w:szCs w:val="22"/>
          <w:lang w:val="en-GB"/>
        </w:rPr>
        <w:t xml:space="preserve">     Tocilizumab should not be administered in the following circumstances: </w:t>
      </w:r>
    </w:p>
    <w:p w:rsidR="000C1A6E" w:rsidRPr="00A03F1D" w:rsidRDefault="000C1A6E" w:rsidP="000C1A6E">
      <w:pPr>
        <w:autoSpaceDE w:val="0"/>
        <w:autoSpaceDN w:val="0"/>
        <w:adjustRightInd w:val="0"/>
        <w:spacing w:after="12"/>
        <w:ind w:left="360"/>
        <w:rPr>
          <w:rFonts w:ascii="Arial" w:hAnsi="Arial" w:cs="Arial"/>
          <w:color w:val="000000"/>
          <w:szCs w:val="22"/>
          <w:lang w:val="en-GB"/>
        </w:rPr>
      </w:pPr>
      <w:r w:rsidRPr="00A03F1D">
        <w:rPr>
          <w:rFonts w:ascii="Arial" w:hAnsi="Arial" w:cs="Arial"/>
          <w:color w:val="000000"/>
          <w:szCs w:val="22"/>
          <w:lang w:val="en-GB"/>
        </w:rPr>
        <w:t xml:space="preserve">• Known hypersensitivity to tocilizumab </w:t>
      </w:r>
    </w:p>
    <w:p w:rsidR="000C1A6E" w:rsidRPr="00A03F1D" w:rsidRDefault="000C1A6E" w:rsidP="000C1A6E">
      <w:pPr>
        <w:autoSpaceDE w:val="0"/>
        <w:autoSpaceDN w:val="0"/>
        <w:adjustRightInd w:val="0"/>
        <w:spacing w:after="12"/>
        <w:ind w:left="360"/>
        <w:rPr>
          <w:rFonts w:ascii="Arial" w:hAnsi="Arial" w:cs="Arial"/>
          <w:color w:val="000000"/>
          <w:szCs w:val="22"/>
          <w:lang w:val="en-GB"/>
        </w:rPr>
      </w:pPr>
      <w:r w:rsidRPr="00A03F1D">
        <w:rPr>
          <w:rFonts w:ascii="Arial" w:hAnsi="Arial" w:cs="Arial"/>
          <w:color w:val="000000"/>
          <w:szCs w:val="22"/>
          <w:lang w:val="en-GB"/>
        </w:rPr>
        <w:t xml:space="preserve">• Co-existing infection that might be worsened by tocilizumab </w:t>
      </w:r>
    </w:p>
    <w:p w:rsidR="000C1A6E" w:rsidRPr="00A03F1D" w:rsidRDefault="000C1A6E" w:rsidP="000C1A6E">
      <w:pPr>
        <w:autoSpaceDE w:val="0"/>
        <w:autoSpaceDN w:val="0"/>
        <w:adjustRightInd w:val="0"/>
        <w:spacing w:after="12"/>
        <w:ind w:left="360"/>
        <w:rPr>
          <w:rFonts w:ascii="Arial" w:hAnsi="Arial" w:cs="Arial"/>
          <w:color w:val="000000"/>
          <w:szCs w:val="22"/>
          <w:lang w:val="en-GB"/>
        </w:rPr>
      </w:pPr>
      <w:r w:rsidRPr="00A03F1D">
        <w:rPr>
          <w:rFonts w:ascii="Arial" w:hAnsi="Arial" w:cs="Arial"/>
          <w:color w:val="000000"/>
          <w:szCs w:val="22"/>
          <w:lang w:val="en-GB"/>
        </w:rPr>
        <w:t xml:space="preserve">• A baseline alanine aminotransferase (ALT) or aspartate aminotransferase (AST) more than 5 times the upper limit of normal (caution is recommended if hepatic enzymes are more than 1.5 times the upper limit of normal) </w:t>
      </w:r>
    </w:p>
    <w:p w:rsidR="000C1A6E" w:rsidRPr="00A03F1D" w:rsidRDefault="000C1A6E" w:rsidP="000C1A6E">
      <w:pPr>
        <w:autoSpaceDE w:val="0"/>
        <w:autoSpaceDN w:val="0"/>
        <w:adjustRightInd w:val="0"/>
        <w:ind w:left="360"/>
        <w:rPr>
          <w:rFonts w:ascii="Arial" w:hAnsi="Arial" w:cs="Arial"/>
          <w:color w:val="000000"/>
          <w:szCs w:val="22"/>
          <w:lang w:val="en-GB"/>
        </w:rPr>
      </w:pPr>
      <w:r w:rsidRPr="00A03F1D">
        <w:rPr>
          <w:rFonts w:ascii="Arial" w:hAnsi="Arial" w:cs="Arial"/>
          <w:color w:val="000000"/>
          <w:szCs w:val="22"/>
          <w:lang w:val="en-GB"/>
        </w:rPr>
        <w:t xml:space="preserve">• A pre-existing condition or treatment resulting in ongoing immunosuppression. </w:t>
      </w:r>
    </w:p>
    <w:p w:rsidR="000C1A6E" w:rsidRPr="00A03F1D" w:rsidRDefault="000C1A6E" w:rsidP="000C1A6E">
      <w:pPr>
        <w:spacing w:line="276" w:lineRule="auto"/>
        <w:ind w:left="360"/>
        <w:rPr>
          <w:rFonts w:ascii="Arial" w:eastAsia="Calibri" w:hAnsi="Arial" w:cs="Arial"/>
          <w:color w:val="000000"/>
          <w:szCs w:val="22"/>
          <w:lang w:val="en-GB"/>
        </w:rPr>
      </w:pPr>
    </w:p>
    <w:p w:rsidR="006147B1" w:rsidRDefault="006147B1" w:rsidP="000C1A6E">
      <w:pPr>
        <w:autoSpaceDE w:val="0"/>
        <w:autoSpaceDN w:val="0"/>
        <w:rPr>
          <w:rFonts w:ascii="Arial" w:eastAsia="Calibri" w:hAnsi="Arial" w:cs="Arial"/>
          <w:b/>
          <w:color w:val="000000"/>
          <w:szCs w:val="22"/>
          <w:lang w:val="en-GB"/>
        </w:rPr>
      </w:pPr>
    </w:p>
    <w:p w:rsidR="000C1A6E" w:rsidRPr="00A03F1D" w:rsidRDefault="000C1A6E" w:rsidP="000C1A6E">
      <w:pPr>
        <w:autoSpaceDE w:val="0"/>
        <w:autoSpaceDN w:val="0"/>
        <w:rPr>
          <w:rFonts w:ascii="Arial" w:eastAsia="Calibri" w:hAnsi="Arial" w:cs="Arial"/>
          <w:b/>
          <w:color w:val="000000"/>
          <w:szCs w:val="22"/>
          <w:lang w:val="en-GB"/>
        </w:rPr>
      </w:pPr>
      <w:r w:rsidRPr="00A03F1D">
        <w:rPr>
          <w:rFonts w:ascii="Arial" w:eastAsia="Calibri" w:hAnsi="Arial" w:cs="Arial"/>
          <w:b/>
          <w:color w:val="000000"/>
          <w:szCs w:val="22"/>
          <w:lang w:val="en-GB"/>
        </w:rPr>
        <w:t xml:space="preserve">Prescribing </w:t>
      </w:r>
      <w:proofErr w:type="gramStart"/>
      <w:r w:rsidRPr="00A03F1D">
        <w:rPr>
          <w:rFonts w:ascii="Arial" w:eastAsia="Calibri" w:hAnsi="Arial" w:cs="Arial"/>
          <w:b/>
          <w:color w:val="000000"/>
          <w:szCs w:val="22"/>
          <w:lang w:val="en-GB"/>
        </w:rPr>
        <w:t>notes :</w:t>
      </w:r>
      <w:proofErr w:type="gramEnd"/>
      <w:r w:rsidRPr="00A03F1D">
        <w:rPr>
          <w:rFonts w:ascii="Arial" w:eastAsia="Calibri" w:hAnsi="Arial" w:cs="Arial"/>
          <w:b/>
          <w:color w:val="000000"/>
          <w:szCs w:val="22"/>
          <w:lang w:val="en-GB"/>
        </w:rPr>
        <w:t xml:space="preserve">- </w:t>
      </w: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Prescribing consultant to discuss with patient the off-label nature of using Tocilizumab to treat COVID </w:t>
      </w:r>
      <w:r w:rsidR="00D43AB2">
        <w:rPr>
          <w:rFonts w:ascii="Arial" w:eastAsia="Calibri" w:hAnsi="Arial" w:cs="Arial"/>
          <w:color w:val="000000"/>
          <w:szCs w:val="22"/>
          <w:lang w:val="en-GB"/>
        </w:rPr>
        <w:t>19 pneumonia and obtain patient</w:t>
      </w:r>
      <w:r w:rsidRPr="00A03F1D">
        <w:rPr>
          <w:rFonts w:ascii="Arial" w:eastAsia="Calibri" w:hAnsi="Arial" w:cs="Arial"/>
          <w:color w:val="000000"/>
          <w:szCs w:val="22"/>
          <w:lang w:val="en-GB"/>
        </w:rPr>
        <w:t xml:space="preserve">‘s verbal consent when possible. </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Prescribing consultant completes a Blueteq form (Microguide) </w:t>
      </w:r>
      <w:proofErr w:type="gramStart"/>
      <w:r w:rsidRPr="00A03F1D">
        <w:rPr>
          <w:rFonts w:ascii="Arial" w:eastAsia="Calibri" w:hAnsi="Arial" w:cs="Arial"/>
          <w:color w:val="000000"/>
          <w:szCs w:val="22"/>
          <w:lang w:val="en-GB"/>
        </w:rPr>
        <w:t>and  forwards</w:t>
      </w:r>
      <w:proofErr w:type="gramEnd"/>
      <w:r w:rsidRPr="00A03F1D">
        <w:rPr>
          <w:rFonts w:ascii="Arial" w:eastAsia="Calibri" w:hAnsi="Arial" w:cs="Arial"/>
          <w:color w:val="000000"/>
          <w:szCs w:val="22"/>
          <w:lang w:val="en-GB"/>
        </w:rPr>
        <w:t xml:space="preserve"> to pharmacy using the e-mail address : -  </w:t>
      </w:r>
      <w:hyperlink r:id="rId7" w:history="1">
        <w:r w:rsidRPr="00A03F1D">
          <w:rPr>
            <w:rStyle w:val="Hyperlink"/>
            <w:rFonts w:ascii="Arial" w:eastAsia="Calibri" w:hAnsi="Arial" w:cs="Arial"/>
            <w:szCs w:val="22"/>
            <w:lang w:val="en-GB"/>
          </w:rPr>
          <w:t>shc-tr.SFTPharmacyHomecare@nhs.net</w:t>
        </w:r>
      </w:hyperlink>
      <w:r w:rsidRPr="00A03F1D">
        <w:rPr>
          <w:rFonts w:ascii="Arial" w:eastAsia="Calibri" w:hAnsi="Arial" w:cs="Arial"/>
          <w:color w:val="000000"/>
          <w:szCs w:val="22"/>
          <w:lang w:val="en-GB"/>
        </w:rPr>
        <w:t xml:space="preserve"> </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Prescribing consultant prescribes the Tocilizumab on the once only medicines section of the drug chart. </w:t>
      </w:r>
      <w:proofErr w:type="gramStart"/>
      <w:r w:rsidRPr="00A03F1D">
        <w:rPr>
          <w:rFonts w:ascii="Arial" w:eastAsia="Calibri" w:hAnsi="Arial" w:cs="Arial"/>
          <w:color w:val="000000"/>
          <w:szCs w:val="22"/>
          <w:lang w:val="en-GB"/>
        </w:rPr>
        <w:t>Dose to be given in 100ml of sodium chloride 0.9% over 1 hour.</w:t>
      </w:r>
      <w:proofErr w:type="gramEnd"/>
      <w:r w:rsidRPr="00A03F1D">
        <w:rPr>
          <w:rFonts w:ascii="Arial" w:eastAsia="Calibri" w:hAnsi="Arial" w:cs="Arial"/>
          <w:color w:val="000000"/>
          <w:szCs w:val="22"/>
          <w:lang w:val="en-GB"/>
        </w:rPr>
        <w:t xml:space="preserve"> </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szCs w:val="22"/>
          <w:lang w:val="en-GB"/>
        </w:rPr>
      </w:pPr>
      <w:r w:rsidRPr="00A03F1D">
        <w:rPr>
          <w:rFonts w:ascii="Arial" w:hAnsi="Arial" w:cs="Arial"/>
          <w:szCs w:val="22"/>
        </w:rPr>
        <w:t>At weekends, patients requiring treatment should be identified to Pharmacy by 1pm so no need to involve the on call Pharmacist out of hours.</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Tocilizumab doses will be made up on Farley RCU. </w:t>
      </w:r>
    </w:p>
    <w:p w:rsidR="000C1A6E" w:rsidRPr="00A03F1D" w:rsidRDefault="000C1A6E" w:rsidP="000C1A6E">
      <w:pPr>
        <w:autoSpaceDE w:val="0"/>
        <w:autoSpaceDN w:val="0"/>
        <w:rPr>
          <w:rFonts w:ascii="Arial" w:eastAsia="Calibri" w:hAnsi="Arial" w:cs="Arial"/>
          <w:color w:val="000000"/>
          <w:szCs w:val="22"/>
          <w:lang w:val="en-GB"/>
        </w:rPr>
      </w:pPr>
    </w:p>
    <w:p w:rsidR="000C1A6E"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szCs w:val="22"/>
          <w:lang w:val="en-GB" w:eastAsia="en-US"/>
        </w:rPr>
        <w:t xml:space="preserve">Patients where there is ambiguity as to whether </w:t>
      </w:r>
      <w:r w:rsidRPr="00A03F1D">
        <w:rPr>
          <w:rFonts w:ascii="Arial" w:eastAsia="Calibri" w:hAnsi="Arial" w:cs="Arial"/>
          <w:color w:val="000000"/>
          <w:szCs w:val="22"/>
          <w:lang w:val="en-GB"/>
        </w:rPr>
        <w:t>Tocilizumab should be prescribed or not there should be</w:t>
      </w:r>
      <w:r w:rsidR="00F87A2E">
        <w:rPr>
          <w:rFonts w:ascii="Arial" w:eastAsia="Calibri" w:hAnsi="Arial" w:cs="Arial"/>
          <w:color w:val="000000"/>
          <w:szCs w:val="22"/>
          <w:lang w:val="en-GB"/>
        </w:rPr>
        <w:t xml:space="preserve"> </w:t>
      </w:r>
      <w:r w:rsidRPr="00A03F1D">
        <w:rPr>
          <w:rFonts w:ascii="Arial" w:eastAsia="Calibri" w:hAnsi="Arial" w:cs="Arial"/>
          <w:color w:val="000000"/>
          <w:szCs w:val="22"/>
          <w:lang w:val="en-GB"/>
        </w:rPr>
        <w:t>further discussion with another Respiratory/ICU consultant.</w:t>
      </w:r>
      <w:r w:rsidRPr="00ED7109">
        <w:rPr>
          <w:rFonts w:ascii="Arial" w:eastAsia="Calibri" w:hAnsi="Arial" w:cs="Arial"/>
          <w:color w:val="000000"/>
          <w:szCs w:val="22"/>
          <w:lang w:val="en-GB"/>
        </w:rPr>
        <w:t xml:space="preserve"> </w:t>
      </w:r>
    </w:p>
    <w:p w:rsidR="000C1A6E" w:rsidRDefault="000C1A6E" w:rsidP="000C1A6E">
      <w:pPr>
        <w:autoSpaceDE w:val="0"/>
        <w:autoSpaceDN w:val="0"/>
        <w:ind w:left="36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The batch numbers of the tocilizumab vials will be recorded by Pharmacy when dispensed and by the ward staff on the drug chart when administered. </w:t>
      </w:r>
    </w:p>
    <w:p w:rsidR="000C1A6E" w:rsidRPr="00A03F1D" w:rsidRDefault="000C1A6E" w:rsidP="000C1A6E">
      <w:pPr>
        <w:spacing w:line="276" w:lineRule="auto"/>
        <w:ind w:left="360"/>
        <w:rPr>
          <w:rFonts w:ascii="Arial" w:eastAsia="Calibri" w:hAnsi="Arial" w:cs="Arial"/>
          <w:color w:val="000000"/>
          <w:szCs w:val="22"/>
          <w:lang w:val="en-GB"/>
        </w:rPr>
      </w:pPr>
    </w:p>
    <w:p w:rsidR="000C1A6E" w:rsidRPr="00A03F1D" w:rsidRDefault="000C1A6E" w:rsidP="000C1A6E">
      <w:pPr>
        <w:spacing w:line="276" w:lineRule="auto"/>
        <w:ind w:left="360"/>
        <w:rPr>
          <w:rFonts w:ascii="Arial" w:eastAsia="Calibri" w:hAnsi="Arial" w:cs="Arial"/>
          <w:color w:val="000000"/>
          <w:szCs w:val="22"/>
          <w:lang w:val="en-GB"/>
        </w:rPr>
      </w:pPr>
      <w:r w:rsidRPr="00A03F1D">
        <w:rPr>
          <w:rFonts w:ascii="Arial" w:eastAsia="Calibri" w:hAnsi="Arial" w:cs="Arial"/>
          <w:color w:val="000000"/>
          <w:szCs w:val="22"/>
          <w:lang w:val="en-GB"/>
        </w:rPr>
        <w:t>Tocilizumab administration does not need to be routinely delayed until after clinical ICU review.</w:t>
      </w:r>
    </w:p>
    <w:p w:rsidR="000C1A6E" w:rsidRPr="00A03F1D" w:rsidRDefault="000C1A6E" w:rsidP="000C1A6E">
      <w:pPr>
        <w:spacing w:line="276" w:lineRule="auto"/>
        <w:ind w:left="360"/>
        <w:rPr>
          <w:rFonts w:ascii="Arial" w:eastAsia="Calibri" w:hAnsi="Arial" w:cs="Arial"/>
          <w:szCs w:val="22"/>
          <w:lang w:val="en-GB" w:eastAsia="en-US"/>
        </w:rPr>
      </w:pPr>
      <w:r w:rsidRPr="00A03F1D">
        <w:rPr>
          <w:rFonts w:ascii="Arial" w:eastAsia="Calibri" w:hAnsi="Arial" w:cs="Arial"/>
          <w:color w:val="000000"/>
          <w:szCs w:val="22"/>
          <w:lang w:val="en-GB"/>
        </w:rPr>
        <w:t>The patient’s transfer to ICU should not be delayed until after administration of tocilizumab.</w:t>
      </w:r>
    </w:p>
    <w:p w:rsidR="000C1A6E" w:rsidRPr="00A03F1D" w:rsidRDefault="000C1A6E" w:rsidP="000C1A6E">
      <w:pPr>
        <w:autoSpaceDE w:val="0"/>
        <w:autoSpaceDN w:val="0"/>
        <w:rPr>
          <w:rFonts w:ascii="Arial" w:eastAsia="Calibri" w:hAnsi="Arial" w:cs="Arial"/>
          <w:color w:val="000000"/>
          <w:szCs w:val="22"/>
          <w:lang w:val="en-GB"/>
        </w:rPr>
      </w:pPr>
    </w:p>
    <w:p w:rsidR="000C1A6E" w:rsidRDefault="000C1A6E" w:rsidP="000C1A6E">
      <w:pPr>
        <w:autoSpaceDE w:val="0"/>
        <w:autoSpaceDN w:val="0"/>
        <w:ind w:left="360"/>
        <w:rPr>
          <w:rFonts w:ascii="Arial" w:eastAsia="Calibri" w:hAnsi="Arial" w:cs="Arial"/>
          <w:color w:val="000000"/>
          <w:szCs w:val="22"/>
          <w:lang w:val="en-GB"/>
        </w:rPr>
      </w:pPr>
      <w:proofErr w:type="gramStart"/>
      <w:r w:rsidRPr="00A03F1D">
        <w:rPr>
          <w:rFonts w:ascii="Arial" w:eastAsia="Calibri" w:hAnsi="Arial" w:cs="Arial"/>
          <w:color w:val="000000"/>
          <w:szCs w:val="22"/>
          <w:lang w:val="en-GB"/>
        </w:rPr>
        <w:t>C</w:t>
      </w:r>
      <w:r w:rsidR="00982466">
        <w:rPr>
          <w:rFonts w:ascii="Arial" w:eastAsia="Calibri" w:hAnsi="Arial" w:cs="Arial"/>
          <w:color w:val="000000"/>
          <w:szCs w:val="22"/>
          <w:lang w:val="en-GB"/>
        </w:rPr>
        <w:t>o</w:t>
      </w:r>
      <w:r w:rsidRPr="00A03F1D">
        <w:rPr>
          <w:rFonts w:ascii="Arial" w:eastAsia="Calibri" w:hAnsi="Arial" w:cs="Arial"/>
          <w:color w:val="000000"/>
          <w:szCs w:val="22"/>
          <w:lang w:val="en-GB"/>
        </w:rPr>
        <w:t>nsultant to consider the need for a second dose after 12 to 24 hours as per the interim position statement.</w:t>
      </w:r>
      <w:proofErr w:type="gramEnd"/>
      <w:r w:rsidRPr="00A03F1D">
        <w:rPr>
          <w:rFonts w:ascii="Arial" w:eastAsia="Calibri" w:hAnsi="Arial" w:cs="Arial"/>
          <w:color w:val="000000"/>
          <w:szCs w:val="22"/>
          <w:lang w:val="en-GB"/>
        </w:rPr>
        <w:t xml:space="preserve"> </w:t>
      </w:r>
    </w:p>
    <w:p w:rsidR="006147B1" w:rsidRDefault="006147B1" w:rsidP="000C1A6E">
      <w:pPr>
        <w:autoSpaceDE w:val="0"/>
        <w:autoSpaceDN w:val="0"/>
        <w:ind w:left="360"/>
        <w:rPr>
          <w:rFonts w:ascii="Arial" w:eastAsia="Calibri" w:hAnsi="Arial" w:cs="Arial"/>
          <w:color w:val="000000"/>
          <w:szCs w:val="22"/>
          <w:lang w:val="en-GB"/>
        </w:rPr>
      </w:pPr>
    </w:p>
    <w:p w:rsidR="006147B1" w:rsidRDefault="006147B1" w:rsidP="000C1A6E">
      <w:pPr>
        <w:autoSpaceDE w:val="0"/>
        <w:autoSpaceDN w:val="0"/>
        <w:ind w:left="360"/>
        <w:rPr>
          <w:rFonts w:ascii="Arial" w:eastAsia="Calibri" w:hAnsi="Arial" w:cs="Arial"/>
          <w:color w:val="000000"/>
          <w:szCs w:val="22"/>
          <w:lang w:val="en-GB"/>
        </w:rPr>
      </w:pPr>
      <w:bookmarkStart w:id="0" w:name="_GoBack"/>
      <w:bookmarkEnd w:id="0"/>
    </w:p>
    <w:p w:rsidR="00982466" w:rsidRDefault="00982466" w:rsidP="000C1A6E">
      <w:pPr>
        <w:autoSpaceDE w:val="0"/>
        <w:autoSpaceDN w:val="0"/>
        <w:ind w:left="360"/>
        <w:rPr>
          <w:rFonts w:ascii="Arial" w:eastAsia="Calibri" w:hAnsi="Arial" w:cs="Arial"/>
          <w:color w:val="000000"/>
          <w:szCs w:val="22"/>
          <w:lang w:val="en-GB"/>
        </w:rPr>
      </w:pPr>
    </w:p>
    <w:p w:rsidR="006147B1" w:rsidRDefault="006147B1" w:rsidP="000C1A6E">
      <w:pPr>
        <w:autoSpaceDE w:val="0"/>
        <w:autoSpaceDN w:val="0"/>
        <w:ind w:left="360"/>
        <w:rPr>
          <w:rFonts w:ascii="Arial" w:hAnsi="Arial" w:cs="Arial"/>
        </w:rPr>
      </w:pPr>
    </w:p>
    <w:p w:rsidR="006147B1" w:rsidRDefault="006147B1" w:rsidP="000C1A6E">
      <w:pPr>
        <w:autoSpaceDE w:val="0"/>
        <w:autoSpaceDN w:val="0"/>
        <w:ind w:left="360"/>
        <w:rPr>
          <w:rFonts w:ascii="Arial" w:hAnsi="Arial" w:cs="Arial"/>
        </w:rPr>
      </w:pPr>
    </w:p>
    <w:p w:rsidR="00982466" w:rsidRPr="00982466" w:rsidRDefault="002B29E3" w:rsidP="000C1A6E">
      <w:pPr>
        <w:autoSpaceDE w:val="0"/>
        <w:autoSpaceDN w:val="0"/>
        <w:ind w:left="360"/>
        <w:rPr>
          <w:rFonts w:ascii="Arial" w:eastAsia="Calibri" w:hAnsi="Arial" w:cs="Arial"/>
          <w:color w:val="000000"/>
          <w:lang w:val="en-GB"/>
        </w:rPr>
      </w:pPr>
      <w:r>
        <w:rPr>
          <w:rFonts w:ascii="Arial" w:hAnsi="Arial" w:cs="Arial"/>
        </w:rPr>
        <w:t>Tocilizumab (</w:t>
      </w:r>
      <w:r w:rsidR="00982466" w:rsidRPr="00982466">
        <w:rPr>
          <w:rFonts w:ascii="Arial" w:hAnsi="Arial" w:cs="Arial"/>
        </w:rPr>
        <w:t>IL-6 inhibitor</w:t>
      </w:r>
      <w:r>
        <w:rPr>
          <w:rFonts w:ascii="Arial" w:hAnsi="Arial" w:cs="Arial"/>
        </w:rPr>
        <w:t>)</w:t>
      </w:r>
      <w:r w:rsidR="00982466" w:rsidRPr="00982466">
        <w:rPr>
          <w:rFonts w:ascii="Arial" w:hAnsi="Arial" w:cs="Arial"/>
        </w:rPr>
        <w:t xml:space="preserve"> </w:t>
      </w:r>
      <w:r>
        <w:rPr>
          <w:rFonts w:ascii="Arial" w:hAnsi="Arial" w:cs="Arial"/>
        </w:rPr>
        <w:t xml:space="preserve">is an </w:t>
      </w:r>
      <w:proofErr w:type="gramStart"/>
      <w:r>
        <w:rPr>
          <w:rFonts w:ascii="Arial" w:hAnsi="Arial" w:cs="Arial"/>
        </w:rPr>
        <w:t xml:space="preserve">immunosuppressant </w:t>
      </w:r>
      <w:r w:rsidR="00982466" w:rsidRPr="00982466">
        <w:rPr>
          <w:rFonts w:ascii="Arial" w:hAnsi="Arial" w:cs="Arial"/>
        </w:rPr>
        <w:t xml:space="preserve"> which</w:t>
      </w:r>
      <w:proofErr w:type="gramEnd"/>
      <w:r w:rsidR="00982466" w:rsidRPr="00982466">
        <w:rPr>
          <w:rFonts w:ascii="Arial" w:hAnsi="Arial" w:cs="Arial"/>
        </w:rPr>
        <w:t xml:space="preserve"> can suppress C-Reactive Protein (CRP) response for up to 3 months after administration. These treatments can therefore lower the ability of the immune system to fight infections which could increase the risk of getting an infection or make any infection the patient contracts worse. It also causes prolonged depression of CRP levels, making it a less reliable marker of active infection.  All handovers of clinical care (including between hospitals if patients are transferred, between levels of care and clinical teams within hospitals, and between hospitals and primary care) must also explicitly mention that an IL-6 inhibitor has been given and the date of administration.</w:t>
      </w:r>
      <w:r w:rsidR="00982466">
        <w:rPr>
          <w:rFonts w:ascii="Arial" w:hAnsi="Arial" w:cs="Arial"/>
        </w:rPr>
        <w:t xml:space="preserve">  </w:t>
      </w:r>
      <w:proofErr w:type="gramStart"/>
      <w:r w:rsidR="00982466">
        <w:rPr>
          <w:rFonts w:ascii="Arial" w:hAnsi="Arial" w:cs="Arial"/>
        </w:rPr>
        <w:t>Pharmacy notify</w:t>
      </w:r>
      <w:proofErr w:type="gramEnd"/>
      <w:r w:rsidR="00982466">
        <w:rPr>
          <w:rFonts w:ascii="Arial" w:hAnsi="Arial" w:cs="Arial"/>
        </w:rPr>
        <w:t xml:space="preserve"> the patient’s GP that they have received tocilizumab by adding a note to the patient Electronic Discharge Summary at the time that the Blueteq form is uploaded.</w:t>
      </w:r>
    </w:p>
    <w:p w:rsidR="00982466" w:rsidRDefault="00982466" w:rsidP="000C1A6E">
      <w:pPr>
        <w:autoSpaceDE w:val="0"/>
        <w:autoSpaceDN w:val="0"/>
        <w:ind w:left="360"/>
        <w:rPr>
          <w:rFonts w:ascii="Arial" w:eastAsia="Calibri" w:hAnsi="Arial" w:cs="Arial"/>
          <w:color w:val="000000"/>
          <w:szCs w:val="22"/>
          <w:lang w:val="en-GB"/>
        </w:rPr>
      </w:pPr>
    </w:p>
    <w:p w:rsidR="00982466" w:rsidRPr="00A03F1D" w:rsidRDefault="00982466" w:rsidP="000C1A6E">
      <w:pPr>
        <w:autoSpaceDE w:val="0"/>
        <w:autoSpaceDN w:val="0"/>
        <w:ind w:left="360"/>
        <w:rPr>
          <w:rFonts w:ascii="Arial" w:eastAsia="Calibri" w:hAnsi="Arial" w:cs="Arial"/>
          <w:color w:val="000000"/>
          <w:szCs w:val="22"/>
          <w:lang w:val="en-GB"/>
        </w:rPr>
      </w:pPr>
    </w:p>
    <w:p w:rsidR="000C1A6E" w:rsidRDefault="000C1A6E" w:rsidP="000C1A6E">
      <w:pPr>
        <w:autoSpaceDE w:val="0"/>
        <w:autoSpaceDN w:val="0"/>
        <w:adjustRightInd w:val="0"/>
        <w:ind w:left="360"/>
        <w:jc w:val="right"/>
        <w:rPr>
          <w:rFonts w:ascii="Arial" w:hAnsi="Arial" w:cs="Arial"/>
          <w:b/>
          <w:color w:val="000000"/>
          <w:szCs w:val="22"/>
          <w:lang w:val="en-GB"/>
        </w:rPr>
      </w:pPr>
    </w:p>
    <w:p w:rsidR="000C1A6E" w:rsidRPr="00586039" w:rsidRDefault="000C1A6E" w:rsidP="000C1A6E">
      <w:pPr>
        <w:autoSpaceDE w:val="0"/>
        <w:autoSpaceDN w:val="0"/>
        <w:adjustRightInd w:val="0"/>
        <w:ind w:left="360"/>
        <w:jc w:val="right"/>
        <w:rPr>
          <w:rFonts w:ascii="Arial" w:hAnsi="Arial" w:cs="Arial"/>
          <w:b/>
          <w:color w:val="000000"/>
          <w:szCs w:val="22"/>
          <w:lang w:val="en-GB"/>
        </w:rPr>
      </w:pPr>
      <w:r w:rsidRPr="00586039">
        <w:rPr>
          <w:rFonts w:ascii="Arial" w:hAnsi="Arial" w:cs="Arial"/>
          <w:b/>
          <w:color w:val="000000"/>
          <w:szCs w:val="22"/>
          <w:lang w:val="en-GB"/>
        </w:rPr>
        <w:t xml:space="preserve">Rapid Policy </w:t>
      </w:r>
      <w:proofErr w:type="gramStart"/>
      <w:r w:rsidRPr="00586039">
        <w:rPr>
          <w:rFonts w:ascii="Arial" w:hAnsi="Arial" w:cs="Arial"/>
          <w:b/>
          <w:color w:val="000000"/>
          <w:szCs w:val="22"/>
          <w:lang w:val="en-GB"/>
        </w:rPr>
        <w:t xml:space="preserve">Statement </w:t>
      </w:r>
      <w:r w:rsidRPr="00CC36A0">
        <w:rPr>
          <w:rFonts w:ascii="Arial" w:hAnsi="Arial" w:cs="Arial"/>
          <w:b/>
          <w:color w:val="000000"/>
          <w:szCs w:val="22"/>
          <w:lang w:val="en-GB"/>
        </w:rPr>
        <w:t xml:space="preserve"> </w:t>
      </w:r>
      <w:r w:rsidRPr="00586039">
        <w:rPr>
          <w:rFonts w:ascii="Arial" w:hAnsi="Arial" w:cs="Arial"/>
          <w:b/>
          <w:bCs/>
          <w:color w:val="000000"/>
          <w:szCs w:val="22"/>
          <w:lang w:val="en-GB"/>
        </w:rPr>
        <w:t>Interim</w:t>
      </w:r>
      <w:proofErr w:type="gramEnd"/>
      <w:r w:rsidRPr="00586039">
        <w:rPr>
          <w:rFonts w:ascii="Arial" w:hAnsi="Arial" w:cs="Arial"/>
          <w:b/>
          <w:bCs/>
          <w:color w:val="000000"/>
          <w:szCs w:val="22"/>
          <w:lang w:val="en-GB"/>
        </w:rPr>
        <w:t xml:space="preserve"> Clinical Commissioning Policy: Tocilizumab for </w:t>
      </w:r>
      <w:r w:rsidR="008856EE">
        <w:rPr>
          <w:rFonts w:ascii="Arial" w:hAnsi="Arial" w:cs="Arial"/>
          <w:b/>
          <w:bCs/>
          <w:color w:val="000000"/>
          <w:szCs w:val="22"/>
          <w:lang w:val="en-GB"/>
        </w:rPr>
        <w:t xml:space="preserve">hospitalised patients with COVID-19 pneumonia (adults)17 </w:t>
      </w:r>
      <w:r w:rsidRPr="00586039">
        <w:rPr>
          <w:rFonts w:ascii="Arial" w:hAnsi="Arial" w:cs="Arial"/>
          <w:b/>
          <w:color w:val="000000"/>
          <w:szCs w:val="22"/>
          <w:lang w:val="en-GB"/>
        </w:rPr>
        <w:t xml:space="preserve"> February 2021</w:t>
      </w:r>
    </w:p>
    <w:p w:rsidR="000C1A6E" w:rsidRDefault="00F80312" w:rsidP="000C1A6E">
      <w:pPr>
        <w:spacing w:line="276" w:lineRule="auto"/>
        <w:ind w:left="360"/>
        <w:jc w:val="right"/>
        <w:rPr>
          <w:rFonts w:ascii="Arial" w:hAnsi="Arial" w:cs="Arial"/>
          <w:b/>
          <w:color w:val="000000"/>
          <w:szCs w:val="22"/>
          <w:lang w:val="en-GB"/>
        </w:rPr>
      </w:pPr>
      <w:hyperlink r:id="rId8" w:history="1">
        <w:r w:rsidR="000C1A6E" w:rsidRPr="00C7751E">
          <w:rPr>
            <w:rStyle w:val="Hyperlink"/>
            <w:rFonts w:ascii="Arial" w:hAnsi="Arial" w:cs="Arial"/>
            <w:b/>
            <w:szCs w:val="22"/>
            <w:lang w:val="en-GB"/>
          </w:rPr>
          <w:t>https://www.nice.org.uk/advice/es33/chapter/Product-overview</w:t>
        </w:r>
      </w:hyperlink>
    </w:p>
    <w:p w:rsidR="000C1A6E" w:rsidRPr="00ED7109" w:rsidRDefault="006147B1" w:rsidP="000C1A6E">
      <w:pPr>
        <w:spacing w:line="276" w:lineRule="auto"/>
        <w:ind w:left="360"/>
        <w:jc w:val="right"/>
        <w:rPr>
          <w:rFonts w:ascii="Arial" w:hAnsi="Arial" w:cs="Arial"/>
          <w:b/>
          <w:color w:val="000000"/>
          <w:szCs w:val="22"/>
          <w:lang w:val="en-GB"/>
        </w:rPr>
      </w:pPr>
      <w:hyperlink r:id="rId9" w:history="1">
        <w:r w:rsidR="008856EE" w:rsidRPr="00FA3825">
          <w:rPr>
            <w:rStyle w:val="Hyperlink"/>
            <w:rFonts w:ascii="Calibri" w:eastAsia="Calibri" w:hAnsi="Calibri"/>
            <w:b/>
            <w:szCs w:val="22"/>
            <w:lang w:val="en-GB" w:eastAsia="en-US"/>
          </w:rPr>
          <w:t>https://www.england.nhs.uk/coronavirus/wp-NEW</w:t>
        </w:r>
      </w:hyperlink>
      <w:r w:rsidR="008856EE">
        <w:rPr>
          <w:rFonts w:ascii="Calibri" w:eastAsia="Calibri" w:hAnsi="Calibri"/>
          <w:b/>
          <w:szCs w:val="22"/>
          <w:u w:val="single"/>
          <w:lang w:val="en-GB" w:eastAsia="en-US"/>
        </w:rPr>
        <w:t xml:space="preserve"> PDF</w:t>
      </w:r>
    </w:p>
    <w:p w:rsidR="00B97AA0" w:rsidRDefault="00B97AA0"/>
    <w:sectPr w:rsidR="00B97AA0" w:rsidSect="00D43AB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566"/>
    <w:multiLevelType w:val="hybridMultilevel"/>
    <w:tmpl w:val="73E240D8"/>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6E"/>
    <w:rsid w:val="000C1A6E"/>
    <w:rsid w:val="001B1023"/>
    <w:rsid w:val="002B29E3"/>
    <w:rsid w:val="006147B1"/>
    <w:rsid w:val="008856EE"/>
    <w:rsid w:val="00982466"/>
    <w:rsid w:val="00B97AA0"/>
    <w:rsid w:val="00D43AB2"/>
    <w:rsid w:val="00F80312"/>
    <w:rsid w:val="00F8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6E"/>
    <w:pPr>
      <w:spacing w:after="0" w:line="240" w:lineRule="auto"/>
    </w:pPr>
    <w:rPr>
      <w:rFonts w:ascii="Times New Roman" w:eastAsia="Times New Roman" w:hAnsi="Times New Roman" w:cs="Times New Roman"/>
      <w:sz w:val="20"/>
      <w:szCs w:val="20"/>
      <w:lang w:val="en-US" w:eastAsia="en-GB"/>
    </w:rPr>
  </w:style>
  <w:style w:type="paragraph" w:styleId="Heading7">
    <w:name w:val="heading 7"/>
    <w:basedOn w:val="Normal"/>
    <w:next w:val="Normal"/>
    <w:link w:val="Heading7Char"/>
    <w:qFormat/>
    <w:rsid w:val="000C1A6E"/>
    <w:pPr>
      <w:keepNext/>
      <w:outlineLvl w:val="6"/>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C1A6E"/>
    <w:rPr>
      <w:rFonts w:ascii="Times New Roman" w:eastAsia="Times New Roman" w:hAnsi="Times New Roman" w:cs="Times New Roman"/>
      <w:sz w:val="24"/>
      <w:szCs w:val="24"/>
    </w:rPr>
  </w:style>
  <w:style w:type="paragraph" w:styleId="Header">
    <w:name w:val="header"/>
    <w:basedOn w:val="Normal"/>
    <w:link w:val="HeaderChar"/>
    <w:rsid w:val="000C1A6E"/>
    <w:pPr>
      <w:tabs>
        <w:tab w:val="center" w:pos="4153"/>
        <w:tab w:val="right" w:pos="8306"/>
      </w:tabs>
    </w:pPr>
    <w:rPr>
      <w:lang w:val="en-GB" w:eastAsia="en-US"/>
    </w:rPr>
  </w:style>
  <w:style w:type="character" w:customStyle="1" w:styleId="HeaderChar">
    <w:name w:val="Header Char"/>
    <w:basedOn w:val="DefaultParagraphFont"/>
    <w:link w:val="Header"/>
    <w:rsid w:val="000C1A6E"/>
    <w:rPr>
      <w:rFonts w:ascii="Times New Roman" w:eastAsia="Times New Roman" w:hAnsi="Times New Roman" w:cs="Times New Roman"/>
      <w:sz w:val="20"/>
      <w:szCs w:val="20"/>
    </w:rPr>
  </w:style>
  <w:style w:type="paragraph" w:styleId="Footer">
    <w:name w:val="footer"/>
    <w:basedOn w:val="Normal"/>
    <w:link w:val="FooterChar"/>
    <w:rsid w:val="000C1A6E"/>
    <w:pPr>
      <w:tabs>
        <w:tab w:val="center" w:pos="4153"/>
        <w:tab w:val="right" w:pos="8306"/>
      </w:tabs>
    </w:pPr>
    <w:rPr>
      <w:lang w:val="en-GB"/>
    </w:rPr>
  </w:style>
  <w:style w:type="character" w:customStyle="1" w:styleId="FooterChar">
    <w:name w:val="Footer Char"/>
    <w:basedOn w:val="DefaultParagraphFont"/>
    <w:link w:val="Footer"/>
    <w:rsid w:val="000C1A6E"/>
    <w:rPr>
      <w:rFonts w:ascii="Times New Roman" w:eastAsia="Times New Roman" w:hAnsi="Times New Roman" w:cs="Times New Roman"/>
      <w:sz w:val="20"/>
      <w:szCs w:val="20"/>
      <w:lang w:eastAsia="en-GB"/>
    </w:rPr>
  </w:style>
  <w:style w:type="paragraph" w:customStyle="1" w:styleId="Default">
    <w:name w:val="Default"/>
    <w:basedOn w:val="Normal"/>
    <w:rsid w:val="000C1A6E"/>
    <w:pPr>
      <w:autoSpaceDE w:val="0"/>
      <w:autoSpaceDN w:val="0"/>
    </w:pPr>
    <w:rPr>
      <w:rFonts w:ascii="Arial" w:eastAsia="Calibri" w:hAnsi="Arial" w:cs="Arial"/>
      <w:color w:val="000000"/>
      <w:sz w:val="24"/>
      <w:szCs w:val="24"/>
      <w:lang w:val="en-GB"/>
    </w:rPr>
  </w:style>
  <w:style w:type="character" w:styleId="Hyperlink">
    <w:name w:val="Hyperlink"/>
    <w:rsid w:val="000C1A6E"/>
    <w:rPr>
      <w:color w:val="0000FF"/>
      <w:u w:val="single"/>
    </w:rPr>
  </w:style>
  <w:style w:type="paragraph" w:styleId="BalloonText">
    <w:name w:val="Balloon Text"/>
    <w:basedOn w:val="Normal"/>
    <w:link w:val="BalloonTextChar"/>
    <w:uiPriority w:val="99"/>
    <w:semiHidden/>
    <w:unhideWhenUsed/>
    <w:rsid w:val="000C1A6E"/>
    <w:rPr>
      <w:rFonts w:ascii="Tahoma" w:hAnsi="Tahoma" w:cs="Tahoma"/>
      <w:sz w:val="16"/>
      <w:szCs w:val="16"/>
    </w:rPr>
  </w:style>
  <w:style w:type="character" w:customStyle="1" w:styleId="BalloonTextChar">
    <w:name w:val="Balloon Text Char"/>
    <w:basedOn w:val="DefaultParagraphFont"/>
    <w:link w:val="BalloonText"/>
    <w:uiPriority w:val="99"/>
    <w:semiHidden/>
    <w:rsid w:val="000C1A6E"/>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6E"/>
    <w:pPr>
      <w:spacing w:after="0" w:line="240" w:lineRule="auto"/>
    </w:pPr>
    <w:rPr>
      <w:rFonts w:ascii="Times New Roman" w:eastAsia="Times New Roman" w:hAnsi="Times New Roman" w:cs="Times New Roman"/>
      <w:sz w:val="20"/>
      <w:szCs w:val="20"/>
      <w:lang w:val="en-US" w:eastAsia="en-GB"/>
    </w:rPr>
  </w:style>
  <w:style w:type="paragraph" w:styleId="Heading7">
    <w:name w:val="heading 7"/>
    <w:basedOn w:val="Normal"/>
    <w:next w:val="Normal"/>
    <w:link w:val="Heading7Char"/>
    <w:qFormat/>
    <w:rsid w:val="000C1A6E"/>
    <w:pPr>
      <w:keepNext/>
      <w:outlineLvl w:val="6"/>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C1A6E"/>
    <w:rPr>
      <w:rFonts w:ascii="Times New Roman" w:eastAsia="Times New Roman" w:hAnsi="Times New Roman" w:cs="Times New Roman"/>
      <w:sz w:val="24"/>
      <w:szCs w:val="24"/>
    </w:rPr>
  </w:style>
  <w:style w:type="paragraph" w:styleId="Header">
    <w:name w:val="header"/>
    <w:basedOn w:val="Normal"/>
    <w:link w:val="HeaderChar"/>
    <w:rsid w:val="000C1A6E"/>
    <w:pPr>
      <w:tabs>
        <w:tab w:val="center" w:pos="4153"/>
        <w:tab w:val="right" w:pos="8306"/>
      </w:tabs>
    </w:pPr>
    <w:rPr>
      <w:lang w:val="en-GB" w:eastAsia="en-US"/>
    </w:rPr>
  </w:style>
  <w:style w:type="character" w:customStyle="1" w:styleId="HeaderChar">
    <w:name w:val="Header Char"/>
    <w:basedOn w:val="DefaultParagraphFont"/>
    <w:link w:val="Header"/>
    <w:rsid w:val="000C1A6E"/>
    <w:rPr>
      <w:rFonts w:ascii="Times New Roman" w:eastAsia="Times New Roman" w:hAnsi="Times New Roman" w:cs="Times New Roman"/>
      <w:sz w:val="20"/>
      <w:szCs w:val="20"/>
    </w:rPr>
  </w:style>
  <w:style w:type="paragraph" w:styleId="Footer">
    <w:name w:val="footer"/>
    <w:basedOn w:val="Normal"/>
    <w:link w:val="FooterChar"/>
    <w:rsid w:val="000C1A6E"/>
    <w:pPr>
      <w:tabs>
        <w:tab w:val="center" w:pos="4153"/>
        <w:tab w:val="right" w:pos="8306"/>
      </w:tabs>
    </w:pPr>
    <w:rPr>
      <w:lang w:val="en-GB"/>
    </w:rPr>
  </w:style>
  <w:style w:type="character" w:customStyle="1" w:styleId="FooterChar">
    <w:name w:val="Footer Char"/>
    <w:basedOn w:val="DefaultParagraphFont"/>
    <w:link w:val="Footer"/>
    <w:rsid w:val="000C1A6E"/>
    <w:rPr>
      <w:rFonts w:ascii="Times New Roman" w:eastAsia="Times New Roman" w:hAnsi="Times New Roman" w:cs="Times New Roman"/>
      <w:sz w:val="20"/>
      <w:szCs w:val="20"/>
      <w:lang w:eastAsia="en-GB"/>
    </w:rPr>
  </w:style>
  <w:style w:type="paragraph" w:customStyle="1" w:styleId="Default">
    <w:name w:val="Default"/>
    <w:basedOn w:val="Normal"/>
    <w:rsid w:val="000C1A6E"/>
    <w:pPr>
      <w:autoSpaceDE w:val="0"/>
      <w:autoSpaceDN w:val="0"/>
    </w:pPr>
    <w:rPr>
      <w:rFonts w:ascii="Arial" w:eastAsia="Calibri" w:hAnsi="Arial" w:cs="Arial"/>
      <w:color w:val="000000"/>
      <w:sz w:val="24"/>
      <w:szCs w:val="24"/>
      <w:lang w:val="en-GB"/>
    </w:rPr>
  </w:style>
  <w:style w:type="character" w:styleId="Hyperlink">
    <w:name w:val="Hyperlink"/>
    <w:rsid w:val="000C1A6E"/>
    <w:rPr>
      <w:color w:val="0000FF"/>
      <w:u w:val="single"/>
    </w:rPr>
  </w:style>
  <w:style w:type="paragraph" w:styleId="BalloonText">
    <w:name w:val="Balloon Text"/>
    <w:basedOn w:val="Normal"/>
    <w:link w:val="BalloonTextChar"/>
    <w:uiPriority w:val="99"/>
    <w:semiHidden/>
    <w:unhideWhenUsed/>
    <w:rsid w:val="000C1A6E"/>
    <w:rPr>
      <w:rFonts w:ascii="Tahoma" w:hAnsi="Tahoma" w:cs="Tahoma"/>
      <w:sz w:val="16"/>
      <w:szCs w:val="16"/>
    </w:rPr>
  </w:style>
  <w:style w:type="character" w:customStyle="1" w:styleId="BalloonTextChar">
    <w:name w:val="Balloon Text Char"/>
    <w:basedOn w:val="DefaultParagraphFont"/>
    <w:link w:val="BalloonText"/>
    <w:uiPriority w:val="99"/>
    <w:semiHidden/>
    <w:rsid w:val="000C1A6E"/>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dvice/es33/chapter/Product-overview" TargetMode="External"/><Relationship Id="rId3" Type="http://schemas.microsoft.com/office/2007/relationships/stylesWithEffects" Target="stylesWithEffects.xml"/><Relationship Id="rId7" Type="http://schemas.openxmlformats.org/officeDocument/2006/relationships/hyperlink" Target="mailto:shc-tr.SFTPharmacyHomeca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coronavirus/wp-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2021-02-24T13:59:00Z</dcterms:created>
  <dcterms:modified xsi:type="dcterms:W3CDTF">2021-02-24T14:00:00Z</dcterms:modified>
</cp:coreProperties>
</file>