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2B" w:rsidRPr="00850B3F" w:rsidRDefault="00D777AD" w:rsidP="00850B3F">
      <w:pPr>
        <w:jc w:val="center"/>
        <w:rPr>
          <w:rFonts w:ascii="Arial" w:hAnsi="Arial" w:cs="Arial"/>
          <w:b/>
          <w:bCs/>
          <w:color w:val="005EB8"/>
          <w:sz w:val="36"/>
          <w:szCs w:val="36"/>
        </w:rPr>
      </w:pPr>
      <w:r w:rsidRPr="00850B3F">
        <w:rPr>
          <w:rFonts w:ascii="Arial" w:hAnsi="Arial" w:cs="Arial"/>
          <w:b/>
          <w:bCs/>
          <w:color w:val="005EB8"/>
          <w:sz w:val="36"/>
          <w:szCs w:val="36"/>
        </w:rPr>
        <w:t>PIFU Implementation Pack</w:t>
      </w:r>
    </w:p>
    <w:p w:rsidR="00C35486" w:rsidRPr="00D777AD" w:rsidRDefault="00C35486" w:rsidP="00C35486">
      <w:pPr>
        <w:rPr>
          <w:rFonts w:ascii="Arial" w:hAnsi="Arial" w:cs="Arial"/>
          <w:b/>
          <w:bCs/>
          <w:sz w:val="24"/>
          <w:szCs w:val="24"/>
        </w:rPr>
      </w:pPr>
      <w:r w:rsidRPr="00D777AD">
        <w:rPr>
          <w:rFonts w:ascii="Arial" w:hAnsi="Arial" w:cs="Arial"/>
          <w:b/>
          <w:bCs/>
          <w:sz w:val="24"/>
          <w:szCs w:val="24"/>
        </w:rPr>
        <w:t>Purpose of the pack</w:t>
      </w:r>
    </w:p>
    <w:p w:rsidR="00C35486" w:rsidRDefault="00C35486" w:rsidP="00C35486">
      <w:pPr>
        <w:rPr>
          <w:rFonts w:ascii="Arial" w:hAnsi="Arial" w:cs="Arial"/>
          <w:sz w:val="24"/>
          <w:szCs w:val="24"/>
        </w:rPr>
      </w:pPr>
      <w:r w:rsidRPr="00D777AD">
        <w:rPr>
          <w:rFonts w:ascii="Arial" w:hAnsi="Arial" w:cs="Arial"/>
          <w:sz w:val="24"/>
          <w:szCs w:val="24"/>
        </w:rPr>
        <w:t xml:space="preserve">The purpose of this pack is to provide </w:t>
      </w:r>
      <w:r>
        <w:rPr>
          <w:rFonts w:ascii="Arial" w:hAnsi="Arial" w:cs="Arial"/>
          <w:sz w:val="24"/>
          <w:szCs w:val="24"/>
        </w:rPr>
        <w:t>specialty teams</w:t>
      </w:r>
      <w:r w:rsidRPr="00D777AD">
        <w:rPr>
          <w:rFonts w:ascii="Arial" w:hAnsi="Arial" w:cs="Arial"/>
          <w:sz w:val="24"/>
          <w:szCs w:val="24"/>
        </w:rPr>
        <w:t xml:space="preserve"> with the key resources needed to set up a PIFU service. The different resources have been compiled by the </w:t>
      </w:r>
      <w:r>
        <w:rPr>
          <w:rFonts w:ascii="Arial" w:hAnsi="Arial" w:cs="Arial"/>
          <w:sz w:val="24"/>
          <w:szCs w:val="24"/>
        </w:rPr>
        <w:t xml:space="preserve">Salisbury Foundation Trust </w:t>
      </w:r>
      <w:r w:rsidRPr="00D777AD">
        <w:rPr>
          <w:rFonts w:ascii="Arial" w:hAnsi="Arial" w:cs="Arial"/>
          <w:sz w:val="24"/>
          <w:szCs w:val="24"/>
        </w:rPr>
        <w:t xml:space="preserve">Outpatient Transformation Team but </w:t>
      </w:r>
      <w:r w:rsidR="00284C91">
        <w:rPr>
          <w:rFonts w:ascii="Arial" w:hAnsi="Arial" w:cs="Arial"/>
          <w:sz w:val="24"/>
          <w:szCs w:val="24"/>
        </w:rPr>
        <w:t xml:space="preserve">also </w:t>
      </w:r>
      <w:r w:rsidRPr="00D777AD">
        <w:rPr>
          <w:rFonts w:ascii="Arial" w:hAnsi="Arial" w:cs="Arial"/>
          <w:sz w:val="24"/>
          <w:szCs w:val="24"/>
        </w:rPr>
        <w:t xml:space="preserve">include a number of items developed by </w:t>
      </w:r>
      <w:r>
        <w:rPr>
          <w:rFonts w:ascii="Arial" w:hAnsi="Arial" w:cs="Arial"/>
          <w:sz w:val="24"/>
          <w:szCs w:val="24"/>
        </w:rPr>
        <w:t>colleagues in the national team.</w:t>
      </w:r>
    </w:p>
    <w:p w:rsidR="00C35486" w:rsidRPr="00D777AD" w:rsidRDefault="00C35486" w:rsidP="00C35486">
      <w:pPr>
        <w:rPr>
          <w:rFonts w:ascii="Arial" w:hAnsi="Arial" w:cs="Arial"/>
          <w:sz w:val="24"/>
          <w:szCs w:val="24"/>
        </w:rPr>
      </w:pPr>
      <w:r>
        <w:rPr>
          <w:rFonts w:ascii="Arial" w:hAnsi="Arial" w:cs="Arial"/>
          <w:sz w:val="24"/>
          <w:szCs w:val="24"/>
        </w:rPr>
        <w:t>If you already use PIFU, the guidance provides information regarding key considerations, as well as documentation that can be used to formalise an existing process.</w:t>
      </w:r>
    </w:p>
    <w:p w:rsidR="00C35486" w:rsidRPr="001232AC" w:rsidRDefault="00C35486" w:rsidP="00C35486">
      <w:pPr>
        <w:rPr>
          <w:rFonts w:ascii="Arial" w:hAnsi="Arial" w:cs="Arial"/>
          <w:bCs/>
          <w:sz w:val="24"/>
          <w:szCs w:val="24"/>
        </w:rPr>
      </w:pPr>
      <w:r w:rsidRPr="001232AC">
        <w:rPr>
          <w:rFonts w:ascii="Arial" w:hAnsi="Arial" w:cs="Arial"/>
          <w:bCs/>
          <w:sz w:val="24"/>
          <w:szCs w:val="24"/>
        </w:rPr>
        <w:t xml:space="preserve">This document pack is designed to be read in conjunction with other supporting documentation such as the </w:t>
      </w:r>
      <w:r>
        <w:rPr>
          <w:rFonts w:ascii="Arial" w:hAnsi="Arial" w:cs="Arial"/>
          <w:bCs/>
          <w:sz w:val="24"/>
          <w:szCs w:val="24"/>
        </w:rPr>
        <w:t xml:space="preserve">Clinical Protocol and </w:t>
      </w:r>
      <w:r w:rsidRPr="001232AC">
        <w:rPr>
          <w:rFonts w:ascii="Arial" w:hAnsi="Arial" w:cs="Arial"/>
          <w:bCs/>
          <w:sz w:val="24"/>
          <w:szCs w:val="24"/>
        </w:rPr>
        <w:t>SOP template</w:t>
      </w:r>
      <w:r>
        <w:rPr>
          <w:rFonts w:ascii="Arial" w:hAnsi="Arial" w:cs="Arial"/>
          <w:bCs/>
          <w:sz w:val="24"/>
          <w:szCs w:val="24"/>
        </w:rPr>
        <w:t xml:space="preserve"> and considerations regarding PIFU suitability, as well as</w:t>
      </w:r>
      <w:r w:rsidRPr="001232AC">
        <w:rPr>
          <w:rFonts w:ascii="Arial" w:hAnsi="Arial" w:cs="Arial"/>
          <w:bCs/>
          <w:sz w:val="24"/>
          <w:szCs w:val="24"/>
        </w:rPr>
        <w:t xml:space="preserve"> national guidance,</w:t>
      </w:r>
      <w:r w:rsidR="00850B3F">
        <w:rPr>
          <w:rFonts w:ascii="Arial" w:hAnsi="Arial" w:cs="Arial"/>
          <w:bCs/>
          <w:sz w:val="24"/>
          <w:szCs w:val="24"/>
        </w:rPr>
        <w:t xml:space="preserve"> all</w:t>
      </w:r>
      <w:r w:rsidRPr="001232AC">
        <w:rPr>
          <w:rFonts w:ascii="Arial" w:hAnsi="Arial" w:cs="Arial"/>
          <w:bCs/>
          <w:sz w:val="24"/>
          <w:szCs w:val="24"/>
        </w:rPr>
        <w:t xml:space="preserve"> contained within the appendix below.</w:t>
      </w:r>
    </w:p>
    <w:p w:rsidR="00D777AD" w:rsidRDefault="00D777AD" w:rsidP="00D777AD">
      <w:pPr>
        <w:rPr>
          <w:rFonts w:ascii="Arial" w:hAnsi="Arial" w:cs="Arial"/>
          <w:b/>
          <w:bCs/>
          <w:sz w:val="24"/>
          <w:szCs w:val="24"/>
        </w:rPr>
      </w:pPr>
      <w:r w:rsidRPr="00D777AD">
        <w:rPr>
          <w:rFonts w:ascii="Arial" w:hAnsi="Arial" w:cs="Arial"/>
          <w:b/>
          <w:bCs/>
          <w:sz w:val="24"/>
          <w:szCs w:val="24"/>
        </w:rPr>
        <w:t xml:space="preserve">What is </w:t>
      </w:r>
      <w:proofErr w:type="gramStart"/>
      <w:r w:rsidRPr="00D777AD">
        <w:rPr>
          <w:rFonts w:ascii="Arial" w:hAnsi="Arial" w:cs="Arial"/>
          <w:b/>
          <w:bCs/>
          <w:sz w:val="24"/>
          <w:szCs w:val="24"/>
        </w:rPr>
        <w:t>PIFU</w:t>
      </w:r>
      <w:proofErr w:type="gramEnd"/>
    </w:p>
    <w:p w:rsidR="00116CB8" w:rsidRPr="00116CB8" w:rsidRDefault="00116CB8" w:rsidP="00D777AD">
      <w:pPr>
        <w:rPr>
          <w:rFonts w:ascii="Arial" w:hAnsi="Arial" w:cs="Arial"/>
          <w:sz w:val="24"/>
          <w:szCs w:val="24"/>
        </w:rPr>
      </w:pPr>
      <w:r w:rsidRPr="00116CB8">
        <w:rPr>
          <w:rFonts w:ascii="Arial" w:hAnsi="Arial" w:cs="Arial"/>
          <w:sz w:val="24"/>
          <w:szCs w:val="24"/>
        </w:rPr>
        <w:t>To give patients and their carers the flexibility to arrange their follow-up appointments as and when they need them, NHS England and NHS Improvement is supporting providers to roll out patient initiated follow-up (PIFU).</w:t>
      </w:r>
    </w:p>
    <w:p w:rsidR="00D777AD" w:rsidRDefault="00D777AD" w:rsidP="00D777AD">
      <w:pPr>
        <w:rPr>
          <w:rFonts w:ascii="Arial" w:hAnsi="Arial" w:cs="Arial"/>
          <w:sz w:val="24"/>
          <w:szCs w:val="24"/>
        </w:rPr>
      </w:pPr>
      <w:r w:rsidRPr="00D777AD">
        <w:rPr>
          <w:rFonts w:ascii="Arial" w:hAnsi="Arial" w:cs="Arial"/>
          <w:sz w:val="24"/>
          <w:szCs w:val="24"/>
        </w:rPr>
        <w:t xml:space="preserve">The term patient-initiated follow-up (PIFU) describes when a patient (or their carer) can initiate their follow-up appointments as and when required, e.g. when symptoms or circumstances change. This helps patients access support when they need it (e.g. during a flare-up of their symptoms) and avoids unnecessary routine ‘check in’ appointments. The patient is empowered to manage their own condition and takes responsibility for initiating the appointment. </w:t>
      </w:r>
    </w:p>
    <w:p w:rsidR="00F97DD3" w:rsidRDefault="0004209E" w:rsidP="0070502B">
      <w:pPr>
        <w:rPr>
          <w:rFonts w:ascii="Arial" w:hAnsi="Arial" w:cs="Arial"/>
          <w:sz w:val="24"/>
          <w:szCs w:val="24"/>
        </w:rPr>
      </w:pPr>
      <w:r w:rsidRPr="0004209E">
        <w:rPr>
          <w:rFonts w:ascii="Arial" w:hAnsi="Arial" w:cs="Arial"/>
          <w:sz w:val="24"/>
          <w:szCs w:val="24"/>
        </w:rPr>
        <w:t>PIFU is one aspect of personalised follow up which describes the broader concept of when a patient’s follow up care is tailored to their individual clinical need, circumstances and preferences.</w:t>
      </w:r>
    </w:p>
    <w:p w:rsidR="00116CB8" w:rsidRPr="00116CB8" w:rsidRDefault="00116CB8" w:rsidP="0070502B">
      <w:pPr>
        <w:rPr>
          <w:rFonts w:ascii="Arial" w:hAnsi="Arial" w:cs="Arial"/>
          <w:sz w:val="24"/>
          <w:szCs w:val="24"/>
        </w:rPr>
      </w:pPr>
    </w:p>
    <w:p w:rsidR="0070502B" w:rsidRPr="00F97DD3" w:rsidRDefault="00F97DD3" w:rsidP="0070502B">
      <w:pPr>
        <w:rPr>
          <w:rFonts w:ascii="Arial" w:hAnsi="Arial" w:cs="Arial"/>
          <w:b/>
          <w:bCs/>
          <w:color w:val="000000" w:themeColor="text1"/>
          <w:sz w:val="24"/>
          <w:szCs w:val="24"/>
        </w:rPr>
      </w:pPr>
      <w:r w:rsidRPr="00F97DD3">
        <w:rPr>
          <w:rFonts w:ascii="Arial" w:hAnsi="Arial" w:cs="Arial"/>
          <w:b/>
          <w:bCs/>
          <w:color w:val="000000" w:themeColor="text1"/>
          <w:sz w:val="24"/>
          <w:szCs w:val="24"/>
        </w:rPr>
        <w:t xml:space="preserve">Steps To Take </w:t>
      </w:r>
      <w:r w:rsidR="0070502B" w:rsidRPr="00F97DD3">
        <w:rPr>
          <w:rFonts w:ascii="Arial" w:hAnsi="Arial" w:cs="Arial"/>
          <w:b/>
          <w:bCs/>
          <w:color w:val="000000" w:themeColor="text1"/>
          <w:sz w:val="24"/>
          <w:szCs w:val="24"/>
        </w:rPr>
        <w:t>B</w:t>
      </w:r>
      <w:r>
        <w:rPr>
          <w:rFonts w:ascii="Arial" w:hAnsi="Arial" w:cs="Arial"/>
          <w:b/>
          <w:bCs/>
          <w:color w:val="000000" w:themeColor="text1"/>
          <w:sz w:val="24"/>
          <w:szCs w:val="24"/>
        </w:rPr>
        <w:t>efore I</w:t>
      </w:r>
      <w:r w:rsidR="0070502B" w:rsidRPr="00F97DD3">
        <w:rPr>
          <w:rFonts w:ascii="Arial" w:hAnsi="Arial" w:cs="Arial"/>
          <w:b/>
          <w:bCs/>
          <w:color w:val="000000" w:themeColor="text1"/>
          <w:sz w:val="24"/>
          <w:szCs w:val="24"/>
        </w:rPr>
        <w:t>mplementing PIFU</w:t>
      </w:r>
    </w:p>
    <w:p w:rsidR="0070502B" w:rsidRPr="001232AC" w:rsidRDefault="0070502B" w:rsidP="0070502B">
      <w:pPr>
        <w:rPr>
          <w:rFonts w:ascii="Arial" w:hAnsi="Arial" w:cs="Arial"/>
          <w:b/>
          <w:bCs/>
          <w:color w:val="000000" w:themeColor="text1"/>
          <w:sz w:val="24"/>
          <w:szCs w:val="24"/>
        </w:rPr>
      </w:pPr>
      <w:r w:rsidRPr="001232AC">
        <w:rPr>
          <w:rFonts w:ascii="Arial" w:hAnsi="Arial" w:cs="Arial"/>
          <w:b/>
          <w:bCs/>
          <w:color w:val="000000" w:themeColor="text1"/>
          <w:sz w:val="24"/>
          <w:szCs w:val="24"/>
        </w:rPr>
        <w:t xml:space="preserve">Clinical protocol </w:t>
      </w:r>
      <w:r w:rsidR="00DF352F" w:rsidRPr="00DF352F">
        <w:rPr>
          <w:rFonts w:ascii="Arial" w:hAnsi="Arial" w:cs="Arial"/>
          <w:bCs/>
          <w:color w:val="000000" w:themeColor="text1"/>
          <w:sz w:val="24"/>
          <w:szCs w:val="24"/>
        </w:rPr>
        <w:t>(a template is provided in the appendix)</w:t>
      </w:r>
    </w:p>
    <w:p w:rsidR="0070502B" w:rsidRPr="001232AC" w:rsidRDefault="0070502B" w:rsidP="0070502B">
      <w:pPr>
        <w:rPr>
          <w:rFonts w:ascii="Arial" w:hAnsi="Arial" w:cs="Arial"/>
          <w:color w:val="000000" w:themeColor="text1"/>
          <w:sz w:val="24"/>
          <w:szCs w:val="24"/>
        </w:rPr>
      </w:pPr>
      <w:r w:rsidRPr="001232AC">
        <w:rPr>
          <w:rFonts w:ascii="Arial" w:hAnsi="Arial" w:cs="Arial"/>
          <w:color w:val="000000" w:themeColor="text1"/>
          <w:sz w:val="24"/>
          <w:szCs w:val="24"/>
        </w:rPr>
        <w:t xml:space="preserve">Clinicians should agree the following for each patient cohort: </w:t>
      </w:r>
    </w:p>
    <w:p w:rsidR="0070502B" w:rsidRPr="001232AC" w:rsidRDefault="0070502B" w:rsidP="0070502B">
      <w:pPr>
        <w:pStyle w:val="ListParagraph"/>
        <w:numPr>
          <w:ilvl w:val="0"/>
          <w:numId w:val="6"/>
        </w:numPr>
        <w:rPr>
          <w:rFonts w:ascii="Arial" w:hAnsi="Arial" w:cs="Arial"/>
          <w:b/>
          <w:bCs/>
          <w:color w:val="000000" w:themeColor="text1"/>
          <w:sz w:val="24"/>
          <w:szCs w:val="24"/>
        </w:rPr>
      </w:pPr>
      <w:r w:rsidRPr="001232AC">
        <w:rPr>
          <w:rFonts w:ascii="Arial" w:hAnsi="Arial" w:cs="Arial"/>
          <w:color w:val="000000" w:themeColor="text1"/>
          <w:sz w:val="24"/>
          <w:szCs w:val="24"/>
        </w:rPr>
        <w:t>clinical criteria for patient cohort/selection and exclusion criteria</w:t>
      </w:r>
    </w:p>
    <w:p w:rsidR="0070502B" w:rsidRPr="001232AC" w:rsidRDefault="0070502B" w:rsidP="0070502B">
      <w:pPr>
        <w:pStyle w:val="ListParagraph"/>
        <w:numPr>
          <w:ilvl w:val="0"/>
          <w:numId w:val="6"/>
        </w:numPr>
        <w:rPr>
          <w:rFonts w:ascii="Arial" w:hAnsi="Arial" w:cs="Arial"/>
          <w:b/>
          <w:bCs/>
          <w:color w:val="000000" w:themeColor="text1"/>
          <w:sz w:val="24"/>
          <w:szCs w:val="24"/>
        </w:rPr>
      </w:pPr>
      <w:r w:rsidRPr="001232AC">
        <w:rPr>
          <w:rFonts w:ascii="Arial" w:hAnsi="Arial" w:cs="Arial"/>
          <w:color w:val="000000" w:themeColor="text1"/>
          <w:sz w:val="24"/>
          <w:szCs w:val="24"/>
        </w:rPr>
        <w:t>signs and symptoms that would trigger a follow up appointment request</w:t>
      </w:r>
    </w:p>
    <w:p w:rsidR="0070502B" w:rsidRPr="001232AC" w:rsidRDefault="0070502B" w:rsidP="0070502B">
      <w:pPr>
        <w:pStyle w:val="ListParagraph"/>
        <w:numPr>
          <w:ilvl w:val="0"/>
          <w:numId w:val="6"/>
        </w:numPr>
        <w:rPr>
          <w:rFonts w:ascii="Arial" w:hAnsi="Arial" w:cs="Arial"/>
          <w:b/>
          <w:bCs/>
          <w:color w:val="000000" w:themeColor="text1"/>
          <w:sz w:val="24"/>
          <w:szCs w:val="24"/>
        </w:rPr>
      </w:pPr>
      <w:r w:rsidRPr="001232AC">
        <w:rPr>
          <w:rFonts w:ascii="Arial" w:hAnsi="Arial" w:cs="Arial"/>
          <w:color w:val="000000" w:themeColor="text1"/>
          <w:sz w:val="24"/>
          <w:szCs w:val="24"/>
        </w:rPr>
        <w:t xml:space="preserve">ideal and maximum waiting time for a follow up appointment request </w:t>
      </w:r>
    </w:p>
    <w:p w:rsidR="0070502B" w:rsidRPr="001232AC" w:rsidRDefault="0070502B" w:rsidP="0070502B">
      <w:pPr>
        <w:pStyle w:val="ListParagraph"/>
        <w:numPr>
          <w:ilvl w:val="0"/>
          <w:numId w:val="6"/>
        </w:numPr>
        <w:rPr>
          <w:rFonts w:ascii="Arial" w:hAnsi="Arial" w:cs="Arial"/>
          <w:b/>
          <w:bCs/>
          <w:color w:val="000000" w:themeColor="text1"/>
          <w:sz w:val="24"/>
          <w:szCs w:val="24"/>
        </w:rPr>
      </w:pPr>
      <w:r w:rsidRPr="001232AC">
        <w:rPr>
          <w:rFonts w:ascii="Arial" w:hAnsi="Arial" w:cs="Arial"/>
          <w:color w:val="000000" w:themeColor="text1"/>
          <w:sz w:val="24"/>
          <w:szCs w:val="24"/>
        </w:rPr>
        <w:t>who can allocate PIFUs</w:t>
      </w:r>
    </w:p>
    <w:p w:rsidR="0070502B" w:rsidRPr="001232AC" w:rsidRDefault="0070502B" w:rsidP="0070502B">
      <w:pPr>
        <w:pStyle w:val="ListParagraph"/>
        <w:numPr>
          <w:ilvl w:val="0"/>
          <w:numId w:val="6"/>
        </w:numPr>
        <w:rPr>
          <w:rFonts w:ascii="Arial" w:hAnsi="Arial" w:cs="Arial"/>
          <w:b/>
          <w:bCs/>
          <w:color w:val="000000" w:themeColor="text1"/>
          <w:sz w:val="24"/>
          <w:szCs w:val="24"/>
        </w:rPr>
      </w:pPr>
      <w:r w:rsidRPr="001232AC">
        <w:rPr>
          <w:rFonts w:ascii="Arial" w:hAnsi="Arial" w:cs="Arial"/>
          <w:color w:val="000000" w:themeColor="text1"/>
          <w:sz w:val="24"/>
          <w:szCs w:val="24"/>
        </w:rPr>
        <w:t xml:space="preserve">how PIFU patients who request an appointment will be managed </w:t>
      </w:r>
    </w:p>
    <w:p w:rsidR="0070502B" w:rsidRPr="001232AC" w:rsidRDefault="003C13BC" w:rsidP="0070502B">
      <w:pPr>
        <w:pStyle w:val="ListParagraph"/>
        <w:numPr>
          <w:ilvl w:val="0"/>
          <w:numId w:val="6"/>
        </w:numPr>
        <w:rPr>
          <w:rFonts w:ascii="Arial" w:hAnsi="Arial" w:cs="Arial"/>
          <w:b/>
          <w:bCs/>
          <w:color w:val="000000" w:themeColor="text1"/>
          <w:sz w:val="24"/>
          <w:szCs w:val="24"/>
        </w:rPr>
      </w:pPr>
      <w:r>
        <w:rPr>
          <w:rFonts w:ascii="Arial" w:hAnsi="Arial" w:cs="Arial"/>
          <w:color w:val="000000" w:themeColor="text1"/>
          <w:sz w:val="24"/>
          <w:szCs w:val="24"/>
        </w:rPr>
        <w:t>Agreeing process for informing GP of PIFU pathway</w:t>
      </w:r>
    </w:p>
    <w:p w:rsidR="00250D5A" w:rsidRDefault="00250D5A" w:rsidP="0070502B">
      <w:pPr>
        <w:rPr>
          <w:rFonts w:ascii="Arial" w:hAnsi="Arial" w:cs="Arial"/>
          <w:color w:val="000000" w:themeColor="text1"/>
          <w:sz w:val="24"/>
          <w:szCs w:val="24"/>
        </w:rPr>
      </w:pPr>
      <w:r w:rsidRPr="00250D5A">
        <w:rPr>
          <w:rFonts w:ascii="Arial" w:hAnsi="Arial" w:cs="Arial"/>
          <w:color w:val="000000" w:themeColor="text1"/>
          <w:sz w:val="24"/>
          <w:szCs w:val="24"/>
        </w:rPr>
        <w:t xml:space="preserve">A short written protocol should be produced, using the template (see appendix) once the above is agreed, which is then signed off by the Clinical Director and go through the Directorate / Divisional Governance process. </w:t>
      </w:r>
      <w:bookmarkStart w:id="0" w:name="_GoBack"/>
      <w:bookmarkEnd w:id="0"/>
    </w:p>
    <w:p w:rsidR="00250D5A" w:rsidRPr="002563F3" w:rsidRDefault="00250D5A" w:rsidP="00250D5A">
      <w:pPr>
        <w:rPr>
          <w:rFonts w:ascii="Arial" w:hAnsi="Arial" w:cs="Arial"/>
          <w:b/>
          <w:color w:val="000000" w:themeColor="text1"/>
          <w:sz w:val="24"/>
          <w:szCs w:val="24"/>
        </w:rPr>
      </w:pPr>
      <w:r w:rsidRPr="002563F3">
        <w:rPr>
          <w:rFonts w:ascii="Arial" w:hAnsi="Arial" w:cs="Arial"/>
          <w:b/>
          <w:color w:val="000000" w:themeColor="text1"/>
          <w:sz w:val="24"/>
          <w:szCs w:val="24"/>
        </w:rPr>
        <w:t>Standard Operating Procedure</w:t>
      </w:r>
    </w:p>
    <w:p w:rsidR="00250D5A" w:rsidRPr="001232AC" w:rsidRDefault="00250D5A" w:rsidP="00250D5A">
      <w:pPr>
        <w:rPr>
          <w:rFonts w:ascii="Arial" w:hAnsi="Arial" w:cs="Arial"/>
          <w:color w:val="000000" w:themeColor="text1"/>
          <w:sz w:val="24"/>
          <w:szCs w:val="24"/>
        </w:rPr>
      </w:pPr>
      <w:r w:rsidRPr="001232AC">
        <w:rPr>
          <w:rFonts w:ascii="Arial" w:hAnsi="Arial" w:cs="Arial"/>
          <w:color w:val="000000" w:themeColor="text1"/>
          <w:sz w:val="24"/>
          <w:szCs w:val="24"/>
        </w:rPr>
        <w:t>The signed off protocol(s) should be embedded into the specialties SOP</w:t>
      </w:r>
      <w:r>
        <w:rPr>
          <w:rFonts w:ascii="Arial" w:hAnsi="Arial" w:cs="Arial"/>
          <w:color w:val="000000" w:themeColor="text1"/>
          <w:sz w:val="24"/>
          <w:szCs w:val="24"/>
        </w:rPr>
        <w:t xml:space="preserve"> (also available within the appendix as a template)</w:t>
      </w:r>
      <w:r w:rsidRPr="001232AC">
        <w:rPr>
          <w:rFonts w:ascii="Arial" w:hAnsi="Arial" w:cs="Arial"/>
          <w:color w:val="000000" w:themeColor="text1"/>
          <w:sz w:val="24"/>
          <w:szCs w:val="24"/>
        </w:rPr>
        <w:t xml:space="preserve">. </w:t>
      </w:r>
    </w:p>
    <w:p w:rsidR="00250D5A" w:rsidRDefault="00250D5A" w:rsidP="00250D5A">
      <w:pPr>
        <w:rPr>
          <w:rFonts w:ascii="Arial" w:hAnsi="Arial" w:cs="Arial"/>
          <w:b/>
          <w:bCs/>
          <w:color w:val="000000" w:themeColor="text1"/>
          <w:sz w:val="24"/>
          <w:szCs w:val="24"/>
        </w:rPr>
      </w:pPr>
      <w:r>
        <w:rPr>
          <w:rFonts w:ascii="Arial" w:hAnsi="Arial" w:cs="Arial"/>
          <w:b/>
          <w:bCs/>
          <w:color w:val="000000" w:themeColor="text1"/>
          <w:sz w:val="24"/>
          <w:szCs w:val="24"/>
        </w:rPr>
        <w:t>Patient Communications</w:t>
      </w:r>
    </w:p>
    <w:p w:rsidR="001232AC" w:rsidRPr="00250D5A" w:rsidRDefault="00250D5A" w:rsidP="0070502B">
      <w:pPr>
        <w:rPr>
          <w:rFonts w:ascii="Arial" w:hAnsi="Arial" w:cs="Arial"/>
          <w:b/>
          <w:bCs/>
          <w:color w:val="000000" w:themeColor="text1"/>
          <w:sz w:val="24"/>
          <w:szCs w:val="24"/>
        </w:rPr>
      </w:pPr>
      <w:r>
        <w:rPr>
          <w:rFonts w:ascii="Arial" w:hAnsi="Arial" w:cs="Arial"/>
          <w:bCs/>
          <w:color w:val="000000" w:themeColor="text1"/>
          <w:sz w:val="24"/>
          <w:szCs w:val="24"/>
        </w:rPr>
        <w:t xml:space="preserve">Patient communication processes should be agreed as part of the SOP, including methods for patients to be able to access the service (please see EQIA for accessibility considerations). This guide also includes a patient leaflet, patient card and patient poster ready for use which can be adapted as required. </w:t>
      </w:r>
      <w:r w:rsidRPr="002563F3">
        <w:rPr>
          <w:rFonts w:ascii="Arial" w:hAnsi="Arial" w:cs="Arial"/>
          <w:b/>
          <w:bCs/>
          <w:color w:val="000000" w:themeColor="text1"/>
          <w:sz w:val="24"/>
          <w:szCs w:val="24"/>
        </w:rPr>
        <w:t>Please leave the survey link in place</w:t>
      </w:r>
      <w:r>
        <w:rPr>
          <w:rFonts w:ascii="Arial" w:hAnsi="Arial" w:cs="Arial"/>
          <w:b/>
          <w:bCs/>
          <w:color w:val="000000" w:themeColor="text1"/>
          <w:sz w:val="24"/>
          <w:szCs w:val="24"/>
        </w:rPr>
        <w:t>.</w:t>
      </w:r>
    </w:p>
    <w:p w:rsidR="0070502B" w:rsidRPr="001232AC" w:rsidRDefault="0070502B" w:rsidP="0070502B">
      <w:pPr>
        <w:rPr>
          <w:rFonts w:ascii="Arial" w:hAnsi="Arial" w:cs="Arial"/>
          <w:b/>
          <w:bCs/>
          <w:color w:val="000000" w:themeColor="text1"/>
          <w:sz w:val="24"/>
          <w:szCs w:val="24"/>
        </w:rPr>
      </w:pPr>
      <w:r w:rsidRPr="001232AC">
        <w:rPr>
          <w:rFonts w:ascii="Arial" w:hAnsi="Arial" w:cs="Arial"/>
          <w:b/>
          <w:bCs/>
          <w:color w:val="000000" w:themeColor="text1"/>
          <w:sz w:val="24"/>
          <w:szCs w:val="24"/>
        </w:rPr>
        <w:t>Managing Capacity</w:t>
      </w:r>
    </w:p>
    <w:p w:rsidR="0070502B" w:rsidRPr="001232AC" w:rsidRDefault="0070502B" w:rsidP="0070502B">
      <w:pPr>
        <w:rPr>
          <w:rFonts w:ascii="Arial" w:hAnsi="Arial" w:cs="Arial"/>
          <w:color w:val="000000" w:themeColor="text1"/>
          <w:sz w:val="24"/>
          <w:szCs w:val="24"/>
        </w:rPr>
      </w:pPr>
      <w:r w:rsidRPr="001232AC">
        <w:rPr>
          <w:rFonts w:ascii="Arial" w:hAnsi="Arial" w:cs="Arial"/>
          <w:color w:val="000000" w:themeColor="text1"/>
          <w:sz w:val="24"/>
          <w:szCs w:val="24"/>
        </w:rPr>
        <w:t>Whilst PIFU will create capacity for the speci</w:t>
      </w:r>
      <w:r w:rsidR="003C13BC">
        <w:rPr>
          <w:rFonts w:ascii="Arial" w:hAnsi="Arial" w:cs="Arial"/>
          <w:color w:val="000000" w:themeColor="text1"/>
          <w:sz w:val="24"/>
          <w:szCs w:val="24"/>
        </w:rPr>
        <w:t>alty in the long term there may</w:t>
      </w:r>
      <w:r w:rsidRPr="001232AC">
        <w:rPr>
          <w:rFonts w:ascii="Arial" w:hAnsi="Arial" w:cs="Arial"/>
          <w:color w:val="000000" w:themeColor="text1"/>
          <w:sz w:val="24"/>
          <w:szCs w:val="24"/>
        </w:rPr>
        <w:t xml:space="preserve"> be challenges managing capacity during the transition to PIFU implementation. </w:t>
      </w:r>
    </w:p>
    <w:p w:rsidR="0070502B" w:rsidRPr="001232AC" w:rsidRDefault="0070502B" w:rsidP="0070502B">
      <w:pPr>
        <w:rPr>
          <w:rFonts w:ascii="Arial" w:hAnsi="Arial" w:cs="Arial"/>
          <w:color w:val="000000" w:themeColor="text1"/>
          <w:sz w:val="24"/>
          <w:szCs w:val="24"/>
        </w:rPr>
      </w:pPr>
      <w:r w:rsidRPr="001232AC">
        <w:rPr>
          <w:rFonts w:ascii="Arial" w:hAnsi="Arial" w:cs="Arial"/>
          <w:color w:val="000000" w:themeColor="text1"/>
          <w:sz w:val="24"/>
          <w:szCs w:val="24"/>
        </w:rPr>
        <w:t xml:space="preserve">As most specialties will have follow up clinics booked in advance the service </w:t>
      </w:r>
      <w:r w:rsidRPr="001232AC">
        <w:rPr>
          <w:rFonts w:ascii="Arial" w:hAnsi="Arial" w:cs="Arial"/>
          <w:b/>
          <w:color w:val="000000" w:themeColor="text1"/>
          <w:sz w:val="24"/>
          <w:szCs w:val="24"/>
        </w:rPr>
        <w:t>must ensure</w:t>
      </w:r>
      <w:r w:rsidRPr="001232AC">
        <w:rPr>
          <w:rFonts w:ascii="Arial" w:hAnsi="Arial" w:cs="Arial"/>
          <w:color w:val="000000" w:themeColor="text1"/>
          <w:sz w:val="24"/>
          <w:szCs w:val="24"/>
        </w:rPr>
        <w:t xml:space="preserve"> that they have a clear plan to manage this demand so that patients will be given an appointment within the agreed acceptable time limit. This may be a non-face-to-face appointment.  </w:t>
      </w:r>
    </w:p>
    <w:p w:rsidR="0070502B" w:rsidRPr="001232AC" w:rsidRDefault="0070502B" w:rsidP="0070502B">
      <w:pPr>
        <w:rPr>
          <w:rFonts w:ascii="Arial" w:hAnsi="Arial" w:cs="Arial"/>
          <w:color w:val="000000" w:themeColor="text1"/>
          <w:sz w:val="24"/>
          <w:szCs w:val="24"/>
        </w:rPr>
      </w:pPr>
      <w:r w:rsidRPr="001232AC">
        <w:rPr>
          <w:rFonts w:ascii="Arial" w:hAnsi="Arial" w:cs="Arial"/>
          <w:color w:val="000000" w:themeColor="text1"/>
          <w:sz w:val="24"/>
          <w:szCs w:val="24"/>
        </w:rPr>
        <w:t>Data from PIFU schemes that have been implemented elsewhere have shown that between 20-30% of patients are likely to initiate a follow up but this varies, depending on the specialty.  Each service</w:t>
      </w:r>
      <w:r w:rsidRPr="00284B0F">
        <w:rPr>
          <w:rFonts w:ascii="Arial" w:hAnsi="Arial" w:cs="Arial"/>
          <w:sz w:val="20"/>
          <w:szCs w:val="20"/>
        </w:rPr>
        <w:t xml:space="preserve"> </w:t>
      </w:r>
      <w:r w:rsidRPr="001232AC">
        <w:rPr>
          <w:rFonts w:ascii="Arial" w:hAnsi="Arial" w:cs="Arial"/>
          <w:color w:val="000000" w:themeColor="text1"/>
          <w:sz w:val="24"/>
          <w:szCs w:val="24"/>
        </w:rPr>
        <w:t xml:space="preserve">will need to review any available data for their specialty in order to more accurately anticipate potential demand. </w:t>
      </w:r>
    </w:p>
    <w:p w:rsidR="0070502B" w:rsidRPr="001232AC" w:rsidRDefault="0070502B" w:rsidP="0070502B">
      <w:pPr>
        <w:rPr>
          <w:rFonts w:ascii="Arial" w:hAnsi="Arial" w:cs="Arial"/>
          <w:color w:val="000000" w:themeColor="text1"/>
          <w:sz w:val="24"/>
          <w:szCs w:val="24"/>
        </w:rPr>
      </w:pPr>
      <w:r w:rsidRPr="006438F3">
        <w:rPr>
          <w:rFonts w:ascii="Arial" w:hAnsi="Arial" w:cs="Arial"/>
          <w:b/>
          <w:color w:val="000000" w:themeColor="text1"/>
          <w:sz w:val="24"/>
          <w:szCs w:val="24"/>
          <w:highlight w:val="yellow"/>
        </w:rPr>
        <w:t>Key message:</w:t>
      </w:r>
      <w:r w:rsidRPr="006438F3">
        <w:rPr>
          <w:rFonts w:ascii="Arial" w:hAnsi="Arial" w:cs="Arial"/>
          <w:color w:val="000000" w:themeColor="text1"/>
          <w:sz w:val="24"/>
          <w:szCs w:val="24"/>
          <w:highlight w:val="yellow"/>
        </w:rPr>
        <w:t xml:space="preserve"> The intention of the PIFU is to reduce follow ups, not to increase them, so please do not use PIFU where you would previously have discharged a patient without a further follow up appointment.</w:t>
      </w:r>
    </w:p>
    <w:p w:rsidR="001232AC" w:rsidRDefault="001232AC" w:rsidP="0070502B">
      <w:pPr>
        <w:rPr>
          <w:rFonts w:ascii="Arial" w:hAnsi="Arial" w:cs="Arial"/>
          <w:b/>
          <w:bCs/>
          <w:color w:val="000000" w:themeColor="text1"/>
          <w:sz w:val="20"/>
          <w:szCs w:val="20"/>
        </w:rPr>
      </w:pPr>
    </w:p>
    <w:p w:rsidR="0070502B" w:rsidRPr="001232AC" w:rsidRDefault="0070502B" w:rsidP="0070502B">
      <w:pPr>
        <w:rPr>
          <w:rFonts w:ascii="Arial" w:hAnsi="Arial" w:cs="Arial"/>
          <w:b/>
          <w:bCs/>
          <w:color w:val="000000" w:themeColor="text1"/>
          <w:sz w:val="24"/>
          <w:szCs w:val="24"/>
        </w:rPr>
      </w:pPr>
      <w:r w:rsidRPr="001232AC">
        <w:rPr>
          <w:rFonts w:ascii="Arial" w:hAnsi="Arial" w:cs="Arial"/>
          <w:b/>
          <w:bCs/>
          <w:color w:val="000000" w:themeColor="text1"/>
          <w:sz w:val="24"/>
          <w:szCs w:val="24"/>
        </w:rPr>
        <w:t>Validation of waiting lists</w:t>
      </w:r>
      <w:r w:rsidR="00850B3F">
        <w:rPr>
          <w:rFonts w:ascii="Arial" w:hAnsi="Arial" w:cs="Arial"/>
          <w:b/>
          <w:bCs/>
          <w:color w:val="000000" w:themeColor="text1"/>
          <w:sz w:val="24"/>
          <w:szCs w:val="24"/>
        </w:rPr>
        <w:t xml:space="preserve"> - </w:t>
      </w:r>
      <w:r w:rsidR="00850B3F" w:rsidRPr="00850B3F">
        <w:rPr>
          <w:rFonts w:ascii="Arial" w:hAnsi="Arial" w:cs="Arial"/>
          <w:b/>
          <w:sz w:val="24"/>
          <w:szCs w:val="24"/>
        </w:rPr>
        <w:t>Using PIFU as part of a waiting list review process</w:t>
      </w:r>
    </w:p>
    <w:p w:rsidR="0070502B" w:rsidRPr="001232AC" w:rsidRDefault="0070502B" w:rsidP="0070502B">
      <w:pPr>
        <w:rPr>
          <w:rFonts w:ascii="Arial" w:hAnsi="Arial" w:cs="Arial"/>
          <w:sz w:val="24"/>
          <w:szCs w:val="24"/>
        </w:rPr>
      </w:pPr>
      <w:r w:rsidRPr="001232AC">
        <w:rPr>
          <w:rFonts w:ascii="Arial" w:hAnsi="Arial" w:cs="Arial"/>
          <w:sz w:val="24"/>
          <w:szCs w:val="24"/>
        </w:rPr>
        <w:t>Using PIFU as part of a w</w:t>
      </w:r>
      <w:r w:rsidR="00850B3F">
        <w:rPr>
          <w:rFonts w:ascii="Arial" w:hAnsi="Arial" w:cs="Arial"/>
          <w:sz w:val="24"/>
          <w:szCs w:val="24"/>
        </w:rPr>
        <w:t>aiting list review process</w:t>
      </w:r>
      <w:r w:rsidRPr="001232AC">
        <w:rPr>
          <w:rFonts w:ascii="Arial" w:hAnsi="Arial" w:cs="Arial"/>
          <w:sz w:val="24"/>
          <w:szCs w:val="24"/>
        </w:rPr>
        <w:t xml:space="preserve"> can help support demand management. </w:t>
      </w:r>
      <w:r w:rsidR="001232AC">
        <w:rPr>
          <w:rFonts w:ascii="Arial" w:hAnsi="Arial" w:cs="Arial"/>
          <w:sz w:val="24"/>
          <w:szCs w:val="24"/>
        </w:rPr>
        <w:t>A</w:t>
      </w:r>
      <w:r w:rsidR="00E87C1C">
        <w:rPr>
          <w:rFonts w:ascii="Arial" w:hAnsi="Arial" w:cs="Arial"/>
          <w:sz w:val="24"/>
          <w:szCs w:val="24"/>
        </w:rPr>
        <w:t xml:space="preserve"> separate process map, produced by the national team regarding</w:t>
      </w:r>
      <w:r w:rsidR="001232AC">
        <w:rPr>
          <w:rFonts w:ascii="Arial" w:hAnsi="Arial" w:cs="Arial"/>
          <w:sz w:val="24"/>
          <w:szCs w:val="24"/>
        </w:rPr>
        <w:t xml:space="preserve"> PIFU use within this scenario is included within the appendix.</w:t>
      </w:r>
    </w:p>
    <w:p w:rsidR="00651798" w:rsidRDefault="0070502B" w:rsidP="0070502B">
      <w:pPr>
        <w:rPr>
          <w:rFonts w:ascii="Arial" w:hAnsi="Arial" w:cs="Arial"/>
          <w:color w:val="000000" w:themeColor="text1"/>
          <w:sz w:val="24"/>
          <w:szCs w:val="24"/>
        </w:rPr>
      </w:pPr>
      <w:r w:rsidRPr="00C96117">
        <w:rPr>
          <w:rFonts w:ascii="Arial" w:hAnsi="Arial" w:cs="Arial"/>
          <w:color w:val="000000" w:themeColor="text1"/>
          <w:sz w:val="24"/>
          <w:szCs w:val="24"/>
        </w:rPr>
        <w:t>Signed off clinical protocols can be used to validate waiting lists, using template patient information clinic letters to advise patients who are offered and accept a PIFU for their condition</w:t>
      </w:r>
      <w:r w:rsidR="00DF352F">
        <w:rPr>
          <w:rFonts w:ascii="Arial" w:hAnsi="Arial" w:cs="Arial"/>
          <w:color w:val="000000" w:themeColor="text1"/>
          <w:sz w:val="24"/>
          <w:szCs w:val="24"/>
        </w:rPr>
        <w:t>.</w:t>
      </w:r>
      <w:r w:rsidRPr="00C96117">
        <w:rPr>
          <w:rFonts w:ascii="Arial" w:hAnsi="Arial" w:cs="Arial"/>
          <w:color w:val="000000" w:themeColor="text1"/>
          <w:sz w:val="24"/>
          <w:szCs w:val="24"/>
        </w:rPr>
        <w:t xml:space="preserve"> </w:t>
      </w:r>
    </w:p>
    <w:p w:rsidR="006F3366" w:rsidRPr="00876301" w:rsidRDefault="006F3366" w:rsidP="0070502B">
      <w:pPr>
        <w:rPr>
          <w:rFonts w:ascii="Arial" w:hAnsi="Arial" w:cs="Arial"/>
          <w:b/>
          <w:bCs/>
          <w:color w:val="000000" w:themeColor="text1"/>
          <w:sz w:val="24"/>
          <w:szCs w:val="24"/>
        </w:rPr>
      </w:pPr>
      <w:r>
        <w:rPr>
          <w:rFonts w:ascii="Arial" w:hAnsi="Arial" w:cs="Arial"/>
          <w:color w:val="000000" w:themeColor="text1"/>
          <w:sz w:val="24"/>
          <w:szCs w:val="24"/>
        </w:rPr>
        <w:t>A patient letter and SOP template, for use in this scenario are provided within the appendix.</w:t>
      </w:r>
    </w:p>
    <w:p w:rsidR="00651798" w:rsidRDefault="00651798" w:rsidP="0070502B">
      <w:pPr>
        <w:rPr>
          <w:rFonts w:ascii="Arial" w:hAnsi="Arial" w:cs="Arial"/>
          <w:b/>
          <w:bCs/>
          <w:color w:val="000000" w:themeColor="text1"/>
        </w:rPr>
      </w:pPr>
    </w:p>
    <w:p w:rsidR="0070502B" w:rsidRPr="001232AC" w:rsidRDefault="0070502B" w:rsidP="0070502B">
      <w:pPr>
        <w:rPr>
          <w:rFonts w:ascii="Arial" w:hAnsi="Arial" w:cs="Arial"/>
          <w:b/>
          <w:bCs/>
          <w:color w:val="000000" w:themeColor="text1"/>
          <w:sz w:val="24"/>
          <w:szCs w:val="24"/>
        </w:rPr>
      </w:pPr>
      <w:r w:rsidRPr="001232AC">
        <w:rPr>
          <w:rFonts w:ascii="Arial" w:hAnsi="Arial" w:cs="Arial"/>
          <w:b/>
          <w:bCs/>
          <w:color w:val="000000" w:themeColor="text1"/>
          <w:sz w:val="24"/>
          <w:szCs w:val="24"/>
        </w:rPr>
        <w:t xml:space="preserve">What services need to decide before implementing </w:t>
      </w:r>
      <w:proofErr w:type="gramStart"/>
      <w:r w:rsidRPr="001232AC">
        <w:rPr>
          <w:rFonts w:ascii="Arial" w:hAnsi="Arial" w:cs="Arial"/>
          <w:b/>
          <w:bCs/>
          <w:color w:val="000000" w:themeColor="text1"/>
          <w:sz w:val="24"/>
          <w:szCs w:val="24"/>
        </w:rPr>
        <w:t>PIFU</w:t>
      </w:r>
      <w:proofErr w:type="gramEnd"/>
    </w:p>
    <w:p w:rsidR="0070502B" w:rsidRPr="001232AC" w:rsidRDefault="0070502B" w:rsidP="0070502B">
      <w:pPr>
        <w:pStyle w:val="ListParagraph"/>
        <w:numPr>
          <w:ilvl w:val="0"/>
          <w:numId w:val="1"/>
        </w:numPr>
        <w:rPr>
          <w:rFonts w:ascii="Arial" w:hAnsi="Arial" w:cs="Arial"/>
          <w:color w:val="000000" w:themeColor="text1"/>
          <w:sz w:val="24"/>
          <w:szCs w:val="24"/>
        </w:rPr>
      </w:pPr>
      <w:r w:rsidRPr="001232AC">
        <w:rPr>
          <w:rFonts w:ascii="Arial" w:hAnsi="Arial" w:cs="Arial"/>
          <w:color w:val="000000" w:themeColor="text1"/>
          <w:sz w:val="24"/>
          <w:szCs w:val="24"/>
        </w:rPr>
        <w:t>How does the service want the patient to contact for a PIFU? e.g.  generic email; or telephone</w:t>
      </w:r>
    </w:p>
    <w:p w:rsidR="0070502B" w:rsidRPr="001232AC" w:rsidRDefault="0070502B" w:rsidP="00DF352F">
      <w:pPr>
        <w:pStyle w:val="ListParagraph"/>
        <w:numPr>
          <w:ilvl w:val="1"/>
          <w:numId w:val="1"/>
        </w:numPr>
        <w:rPr>
          <w:rFonts w:ascii="Arial" w:hAnsi="Arial" w:cs="Arial"/>
          <w:color w:val="000000" w:themeColor="text1"/>
          <w:sz w:val="24"/>
          <w:szCs w:val="24"/>
        </w:rPr>
      </w:pPr>
      <w:r w:rsidRPr="001232AC">
        <w:rPr>
          <w:rFonts w:ascii="Arial" w:hAnsi="Arial" w:cs="Arial"/>
          <w:color w:val="000000" w:themeColor="text1"/>
          <w:sz w:val="24"/>
          <w:szCs w:val="24"/>
        </w:rPr>
        <w:t>What is the agreed timeframe for a patient to receive a response?</w:t>
      </w:r>
    </w:p>
    <w:p w:rsidR="0070502B" w:rsidRPr="001232AC" w:rsidRDefault="0070502B" w:rsidP="00DF352F">
      <w:pPr>
        <w:pStyle w:val="ListParagraph"/>
        <w:numPr>
          <w:ilvl w:val="1"/>
          <w:numId w:val="2"/>
        </w:numPr>
        <w:rPr>
          <w:rFonts w:ascii="Arial" w:hAnsi="Arial" w:cs="Arial"/>
          <w:color w:val="000000" w:themeColor="text1"/>
          <w:sz w:val="24"/>
          <w:szCs w:val="24"/>
        </w:rPr>
      </w:pPr>
      <w:r w:rsidRPr="001232AC">
        <w:rPr>
          <w:rFonts w:ascii="Arial" w:hAnsi="Arial" w:cs="Arial"/>
          <w:color w:val="000000" w:themeColor="text1"/>
          <w:sz w:val="24"/>
          <w:szCs w:val="24"/>
        </w:rPr>
        <w:t xml:space="preserve">If the service wants the patient to phone for an appointment, what is the number/extension and who will be responsible?  </w:t>
      </w:r>
    </w:p>
    <w:p w:rsidR="0070502B" w:rsidRPr="001232AC" w:rsidRDefault="0070502B" w:rsidP="00DF352F">
      <w:pPr>
        <w:pStyle w:val="ListParagraph"/>
        <w:numPr>
          <w:ilvl w:val="1"/>
          <w:numId w:val="2"/>
        </w:numPr>
        <w:rPr>
          <w:rFonts w:ascii="Arial" w:hAnsi="Arial" w:cs="Arial"/>
          <w:color w:val="000000" w:themeColor="text1"/>
          <w:sz w:val="24"/>
          <w:szCs w:val="24"/>
        </w:rPr>
      </w:pPr>
      <w:r w:rsidRPr="001232AC">
        <w:rPr>
          <w:rFonts w:ascii="Arial" w:hAnsi="Arial" w:cs="Arial"/>
          <w:color w:val="000000" w:themeColor="text1"/>
          <w:sz w:val="24"/>
          <w:szCs w:val="24"/>
        </w:rPr>
        <w:t xml:space="preserve">If the service would prefer patients to email, who will be responsible for ensuring the message is picked up and dealt with? </w:t>
      </w:r>
    </w:p>
    <w:p w:rsidR="0070502B" w:rsidRPr="001232AC" w:rsidRDefault="0070502B" w:rsidP="00DF352F">
      <w:pPr>
        <w:pStyle w:val="ListParagraph"/>
        <w:numPr>
          <w:ilvl w:val="1"/>
          <w:numId w:val="2"/>
        </w:numPr>
        <w:rPr>
          <w:rFonts w:ascii="Arial" w:hAnsi="Arial" w:cs="Arial"/>
          <w:color w:val="000000" w:themeColor="text1"/>
          <w:sz w:val="24"/>
          <w:szCs w:val="24"/>
        </w:rPr>
      </w:pPr>
      <w:r w:rsidRPr="001232AC">
        <w:rPr>
          <w:rFonts w:ascii="Arial" w:hAnsi="Arial" w:cs="Arial"/>
          <w:color w:val="000000" w:themeColor="text1"/>
          <w:sz w:val="24"/>
          <w:szCs w:val="24"/>
        </w:rPr>
        <w:lastRenderedPageBreak/>
        <w:t>If not already in place, consider a dedicated telephone phone line with voicemail or email address with out of office message set up to advise of response time for the patient-initiated service</w:t>
      </w:r>
    </w:p>
    <w:p w:rsidR="0070502B" w:rsidRPr="001232AC" w:rsidRDefault="0070502B" w:rsidP="00DF352F">
      <w:pPr>
        <w:pStyle w:val="ListParagraph"/>
        <w:numPr>
          <w:ilvl w:val="1"/>
          <w:numId w:val="3"/>
        </w:numPr>
        <w:rPr>
          <w:rFonts w:ascii="Arial" w:hAnsi="Arial" w:cs="Arial"/>
          <w:color w:val="000000" w:themeColor="text1"/>
          <w:sz w:val="24"/>
          <w:szCs w:val="24"/>
        </w:rPr>
      </w:pPr>
      <w:r w:rsidRPr="001232AC">
        <w:rPr>
          <w:rFonts w:ascii="Arial" w:hAnsi="Arial" w:cs="Arial"/>
          <w:color w:val="000000" w:themeColor="text1"/>
          <w:sz w:val="24"/>
          <w:szCs w:val="24"/>
        </w:rPr>
        <w:t>What cover arrangements need to be in place for sickness/leave?</w:t>
      </w:r>
    </w:p>
    <w:p w:rsidR="0070502B" w:rsidRPr="001232AC" w:rsidRDefault="0070502B" w:rsidP="0070502B">
      <w:pPr>
        <w:pStyle w:val="ListParagraph"/>
        <w:numPr>
          <w:ilvl w:val="0"/>
          <w:numId w:val="3"/>
        </w:numPr>
        <w:rPr>
          <w:rFonts w:ascii="Arial" w:hAnsi="Arial" w:cs="Arial"/>
          <w:color w:val="000000" w:themeColor="text1"/>
          <w:sz w:val="24"/>
          <w:szCs w:val="24"/>
        </w:rPr>
      </w:pPr>
      <w:r w:rsidRPr="001232AC">
        <w:rPr>
          <w:rFonts w:ascii="Arial" w:hAnsi="Arial" w:cs="Arial"/>
          <w:color w:val="000000" w:themeColor="text1"/>
          <w:sz w:val="24"/>
          <w:szCs w:val="24"/>
        </w:rPr>
        <w:t>How will the service manage their capacity during the implementation phase?  (e.g. will there need to be reserve slots in a specific clinic, temporary additional PIFU clinics, general overbooking)</w:t>
      </w:r>
    </w:p>
    <w:p w:rsidR="0070502B" w:rsidRPr="001232AC" w:rsidRDefault="0070502B" w:rsidP="0070502B">
      <w:pPr>
        <w:pStyle w:val="ListParagraph"/>
        <w:numPr>
          <w:ilvl w:val="1"/>
          <w:numId w:val="4"/>
        </w:numPr>
        <w:rPr>
          <w:rFonts w:ascii="Arial" w:hAnsi="Arial" w:cs="Arial"/>
          <w:color w:val="000000" w:themeColor="text1"/>
          <w:sz w:val="24"/>
          <w:szCs w:val="24"/>
        </w:rPr>
      </w:pPr>
      <w:r w:rsidRPr="001232AC">
        <w:rPr>
          <w:rFonts w:ascii="Arial" w:eastAsia="Times New Roman" w:hAnsi="Arial" w:cs="Arial"/>
          <w:color w:val="000000" w:themeColor="text1"/>
          <w:sz w:val="24"/>
          <w:szCs w:val="24"/>
          <w:lang w:eastAsia="en-GB"/>
        </w:rPr>
        <w:t>Establish demand and workforce capacity and ensure there is capacity to deliver this. This may be an ongoing process to understand how many patient-initiated follow ups are requested on average, and how many slots are needed to be reserved.</w:t>
      </w:r>
    </w:p>
    <w:p w:rsidR="0070502B" w:rsidRPr="001232AC" w:rsidRDefault="0070502B" w:rsidP="0070502B">
      <w:pPr>
        <w:pStyle w:val="ListParagraph"/>
        <w:numPr>
          <w:ilvl w:val="0"/>
          <w:numId w:val="5"/>
        </w:numPr>
        <w:rPr>
          <w:rFonts w:ascii="Arial" w:hAnsi="Arial" w:cs="Arial"/>
          <w:color w:val="000000" w:themeColor="text1"/>
          <w:sz w:val="24"/>
          <w:szCs w:val="24"/>
        </w:rPr>
      </w:pPr>
      <w:r w:rsidRPr="001232AC">
        <w:rPr>
          <w:rFonts w:ascii="Arial" w:hAnsi="Arial" w:cs="Arial"/>
          <w:color w:val="000000" w:themeColor="text1"/>
          <w:sz w:val="24"/>
          <w:szCs w:val="24"/>
        </w:rPr>
        <w:t xml:space="preserve">Training requirements for booking and recording process </w:t>
      </w:r>
    </w:p>
    <w:p w:rsidR="0070502B" w:rsidRPr="001232AC" w:rsidRDefault="0070502B" w:rsidP="0070502B">
      <w:pPr>
        <w:pStyle w:val="ListParagraph"/>
        <w:numPr>
          <w:ilvl w:val="0"/>
          <w:numId w:val="5"/>
        </w:numPr>
        <w:rPr>
          <w:rFonts w:ascii="Arial" w:hAnsi="Arial" w:cs="Arial"/>
          <w:color w:val="000000" w:themeColor="text1"/>
          <w:sz w:val="24"/>
          <w:szCs w:val="24"/>
        </w:rPr>
      </w:pPr>
      <w:r w:rsidRPr="001232AC">
        <w:rPr>
          <w:rFonts w:ascii="Arial" w:hAnsi="Arial" w:cs="Arial"/>
          <w:color w:val="000000" w:themeColor="text1"/>
          <w:sz w:val="24"/>
          <w:szCs w:val="24"/>
        </w:rPr>
        <w:t>Are any template changes required?</w:t>
      </w:r>
    </w:p>
    <w:p w:rsidR="0070502B" w:rsidRPr="001232AC" w:rsidRDefault="0070502B" w:rsidP="0070502B">
      <w:pPr>
        <w:pStyle w:val="ListParagraph"/>
        <w:numPr>
          <w:ilvl w:val="0"/>
          <w:numId w:val="5"/>
        </w:numPr>
        <w:rPr>
          <w:rFonts w:ascii="Arial" w:hAnsi="Arial" w:cs="Arial"/>
          <w:color w:val="000000" w:themeColor="text1"/>
          <w:sz w:val="24"/>
          <w:szCs w:val="24"/>
        </w:rPr>
      </w:pPr>
      <w:r w:rsidRPr="001232AC">
        <w:rPr>
          <w:rFonts w:ascii="Arial" w:hAnsi="Arial" w:cs="Arial"/>
          <w:color w:val="000000" w:themeColor="text1"/>
          <w:sz w:val="24"/>
          <w:szCs w:val="24"/>
        </w:rPr>
        <w:t>Who will the booking services / speciality booking teams and PALS teams be advised to contact if the patient calls them to say they’ve lost their PIFU contact details?</w:t>
      </w:r>
    </w:p>
    <w:p w:rsidR="0070502B" w:rsidRPr="001232AC" w:rsidRDefault="0070502B" w:rsidP="0070502B">
      <w:pPr>
        <w:rPr>
          <w:rFonts w:ascii="Arial" w:hAnsi="Arial" w:cs="Arial"/>
          <w:b/>
          <w:bCs/>
          <w:sz w:val="24"/>
          <w:szCs w:val="24"/>
        </w:rPr>
      </w:pPr>
      <w:r w:rsidRPr="001232AC">
        <w:rPr>
          <w:rFonts w:ascii="Arial" w:hAnsi="Arial" w:cs="Arial"/>
          <w:b/>
          <w:bCs/>
          <w:sz w:val="24"/>
          <w:szCs w:val="24"/>
        </w:rPr>
        <w:t xml:space="preserve">Standard Operating Procedure </w:t>
      </w:r>
    </w:p>
    <w:p w:rsidR="0070502B" w:rsidRPr="001232AC" w:rsidRDefault="0070502B" w:rsidP="0070502B">
      <w:pPr>
        <w:pStyle w:val="ListParagraph"/>
        <w:numPr>
          <w:ilvl w:val="0"/>
          <w:numId w:val="7"/>
        </w:numPr>
        <w:rPr>
          <w:rFonts w:ascii="Arial" w:hAnsi="Arial" w:cs="Arial"/>
          <w:sz w:val="24"/>
          <w:szCs w:val="24"/>
        </w:rPr>
      </w:pPr>
      <w:r w:rsidRPr="001232AC">
        <w:rPr>
          <w:rFonts w:ascii="Arial" w:hAnsi="Arial" w:cs="Arial"/>
          <w:sz w:val="24"/>
          <w:szCs w:val="24"/>
        </w:rPr>
        <w:t>As part of the implementation process, each specialty must agree a Standard Operating Procedure (SOP) and ensure that all staff are clear about their own and others’ roles and responsibilities.</w:t>
      </w:r>
    </w:p>
    <w:p w:rsidR="00303557" w:rsidRDefault="001232AC" w:rsidP="0070502B">
      <w:pPr>
        <w:rPr>
          <w:rFonts w:ascii="Arial" w:hAnsi="Arial" w:cs="Arial"/>
          <w:sz w:val="24"/>
          <w:szCs w:val="24"/>
        </w:rPr>
      </w:pPr>
      <w:r>
        <w:rPr>
          <w:rFonts w:ascii="Arial" w:hAnsi="Arial" w:cs="Arial"/>
          <w:sz w:val="24"/>
          <w:szCs w:val="24"/>
        </w:rPr>
        <w:t>A generic SOP template is embedded within the appendix below</w:t>
      </w:r>
      <w:r w:rsidR="00350346">
        <w:rPr>
          <w:rFonts w:ascii="Arial" w:hAnsi="Arial" w:cs="Arial"/>
          <w:sz w:val="24"/>
          <w:szCs w:val="24"/>
        </w:rPr>
        <w:t>. Sections of the SOP have been highlighted in yellow so that they can be adapted for use by individual teams.</w:t>
      </w:r>
    </w:p>
    <w:p w:rsidR="00876301" w:rsidRPr="001232AC" w:rsidRDefault="006438F3" w:rsidP="0070502B">
      <w:pPr>
        <w:rPr>
          <w:rFonts w:ascii="Arial" w:hAnsi="Arial" w:cs="Arial"/>
          <w:sz w:val="24"/>
          <w:szCs w:val="24"/>
        </w:rPr>
      </w:pPr>
      <w:r>
        <w:rPr>
          <w:rFonts w:ascii="Arial" w:hAnsi="Arial" w:cs="Arial"/>
          <w:sz w:val="24"/>
          <w:szCs w:val="24"/>
        </w:rPr>
        <w:t xml:space="preserve">An overview of the </w:t>
      </w:r>
      <w:r w:rsidR="00876301">
        <w:rPr>
          <w:rFonts w:ascii="Arial" w:hAnsi="Arial" w:cs="Arial"/>
          <w:sz w:val="24"/>
          <w:szCs w:val="24"/>
        </w:rPr>
        <w:t>steps to take regarding key stakeholders are listed below: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750"/>
        <w:gridCol w:w="6459"/>
      </w:tblGrid>
      <w:tr w:rsidR="0070502B" w:rsidRPr="002C5C87" w:rsidTr="00D93FB7">
        <w:tc>
          <w:tcPr>
            <w:tcW w:w="2750" w:type="dxa"/>
            <w:shd w:val="clear" w:color="auto" w:fill="A6A6A6" w:themeFill="background1" w:themeFillShade="A6"/>
          </w:tcPr>
          <w:p w:rsidR="0070502B" w:rsidRPr="002C5C87" w:rsidRDefault="0070502B" w:rsidP="00D93FB7">
            <w:pPr>
              <w:spacing w:after="0" w:line="240" w:lineRule="auto"/>
              <w:rPr>
                <w:rFonts w:ascii="Arial" w:hAnsi="Arial" w:cs="Arial"/>
                <w:b/>
                <w:color w:val="FFFFFF"/>
                <w:szCs w:val="20"/>
              </w:rPr>
            </w:pPr>
            <w:r w:rsidRPr="002C5C87">
              <w:rPr>
                <w:rFonts w:ascii="Arial" w:hAnsi="Arial" w:cs="Arial"/>
                <w:b/>
                <w:color w:val="FFFFFF"/>
                <w:szCs w:val="20"/>
              </w:rPr>
              <w:t>Stakeholder</w:t>
            </w:r>
          </w:p>
        </w:tc>
        <w:tc>
          <w:tcPr>
            <w:tcW w:w="6459" w:type="dxa"/>
            <w:shd w:val="clear" w:color="auto" w:fill="A6A6A6" w:themeFill="background1" w:themeFillShade="A6"/>
          </w:tcPr>
          <w:p w:rsidR="0070502B" w:rsidRPr="002C5C87" w:rsidRDefault="0070502B" w:rsidP="00D93FB7">
            <w:pPr>
              <w:spacing w:after="0" w:line="240" w:lineRule="auto"/>
              <w:rPr>
                <w:rFonts w:ascii="Arial" w:hAnsi="Arial" w:cs="Arial"/>
                <w:b/>
                <w:color w:val="FFFFFF"/>
                <w:szCs w:val="20"/>
              </w:rPr>
            </w:pPr>
            <w:r w:rsidRPr="002C5C87">
              <w:rPr>
                <w:rFonts w:ascii="Arial" w:hAnsi="Arial" w:cs="Arial"/>
                <w:b/>
                <w:color w:val="FFFFFF"/>
                <w:szCs w:val="20"/>
              </w:rPr>
              <w:t>Actions</w:t>
            </w:r>
          </w:p>
        </w:tc>
      </w:tr>
      <w:tr w:rsidR="0070502B" w:rsidRPr="002C5C87" w:rsidTr="00D93FB7">
        <w:trPr>
          <w:trHeight w:val="983"/>
        </w:trPr>
        <w:tc>
          <w:tcPr>
            <w:tcW w:w="2750" w:type="dxa"/>
            <w:shd w:val="clear" w:color="auto" w:fill="auto"/>
            <w:vAlign w:val="center"/>
          </w:tcPr>
          <w:p w:rsidR="0070502B" w:rsidRPr="00F97DD3" w:rsidRDefault="0070502B" w:rsidP="00D93FB7">
            <w:pPr>
              <w:spacing w:after="0" w:line="240" w:lineRule="auto"/>
              <w:rPr>
                <w:rFonts w:ascii="Arial" w:hAnsi="Arial" w:cs="Arial"/>
                <w:sz w:val="24"/>
                <w:szCs w:val="24"/>
              </w:rPr>
            </w:pPr>
            <w:r w:rsidRPr="00F97DD3">
              <w:rPr>
                <w:rFonts w:ascii="Arial" w:hAnsi="Arial" w:cs="Arial"/>
                <w:sz w:val="24"/>
                <w:szCs w:val="24"/>
              </w:rPr>
              <w:t>Patients</w:t>
            </w:r>
            <w:r w:rsidR="00116CB8">
              <w:rPr>
                <w:rFonts w:ascii="Arial" w:hAnsi="Arial" w:cs="Arial"/>
                <w:sz w:val="24"/>
                <w:szCs w:val="24"/>
              </w:rPr>
              <w:t xml:space="preserve"> and their Carers (please see EQIA for further information)</w:t>
            </w:r>
          </w:p>
        </w:tc>
        <w:tc>
          <w:tcPr>
            <w:tcW w:w="6459" w:type="dxa"/>
            <w:shd w:val="clear" w:color="auto" w:fill="auto"/>
            <w:vAlign w:val="center"/>
          </w:tcPr>
          <w:p w:rsidR="0070502B" w:rsidRPr="002C5C87" w:rsidRDefault="0070502B" w:rsidP="0070502B">
            <w:pPr>
              <w:pStyle w:val="ListParagraph"/>
              <w:numPr>
                <w:ilvl w:val="0"/>
                <w:numId w:val="8"/>
              </w:numPr>
              <w:spacing w:after="0" w:line="240" w:lineRule="auto"/>
              <w:rPr>
                <w:rFonts w:ascii="Arial" w:hAnsi="Arial" w:cs="Arial"/>
                <w:sz w:val="20"/>
                <w:szCs w:val="18"/>
              </w:rPr>
            </w:pPr>
            <w:r w:rsidRPr="002C5C87">
              <w:rPr>
                <w:rFonts w:ascii="Arial" w:hAnsi="Arial" w:cs="Arial"/>
                <w:sz w:val="20"/>
                <w:szCs w:val="18"/>
              </w:rPr>
              <w:t>Verbal communication – at existing contact points</w:t>
            </w:r>
          </w:p>
          <w:p w:rsidR="00C96117" w:rsidRDefault="006438F3" w:rsidP="0070502B">
            <w:pPr>
              <w:pStyle w:val="ListParagraph"/>
              <w:numPr>
                <w:ilvl w:val="0"/>
                <w:numId w:val="8"/>
              </w:numPr>
              <w:spacing w:after="0" w:line="240" w:lineRule="auto"/>
              <w:rPr>
                <w:rFonts w:ascii="Arial" w:hAnsi="Arial" w:cs="Arial"/>
                <w:sz w:val="20"/>
                <w:szCs w:val="18"/>
              </w:rPr>
            </w:pPr>
            <w:r>
              <w:rPr>
                <w:rFonts w:ascii="Arial" w:hAnsi="Arial" w:cs="Arial"/>
                <w:sz w:val="20"/>
                <w:szCs w:val="18"/>
              </w:rPr>
              <w:t xml:space="preserve">Consider any specialty specific </w:t>
            </w:r>
            <w:r w:rsidR="0070502B" w:rsidRPr="002C5C87">
              <w:rPr>
                <w:rFonts w:ascii="Arial" w:hAnsi="Arial" w:cs="Arial"/>
                <w:sz w:val="20"/>
                <w:szCs w:val="18"/>
              </w:rPr>
              <w:t>PIFU informatio</w:t>
            </w:r>
            <w:r w:rsidR="00C96117">
              <w:rPr>
                <w:rFonts w:ascii="Arial" w:hAnsi="Arial" w:cs="Arial"/>
                <w:sz w:val="20"/>
                <w:szCs w:val="18"/>
              </w:rPr>
              <w:t>n to be displayed on public</w:t>
            </w:r>
            <w:r w:rsidR="0070502B" w:rsidRPr="002C5C87">
              <w:rPr>
                <w:rFonts w:ascii="Arial" w:hAnsi="Arial" w:cs="Arial"/>
                <w:sz w:val="20"/>
                <w:szCs w:val="18"/>
              </w:rPr>
              <w:t xml:space="preserve"> website</w:t>
            </w:r>
            <w:r>
              <w:rPr>
                <w:rFonts w:ascii="Arial" w:hAnsi="Arial" w:cs="Arial"/>
                <w:sz w:val="20"/>
                <w:szCs w:val="18"/>
              </w:rPr>
              <w:t>, alongside general PIFU information already available</w:t>
            </w:r>
          </w:p>
          <w:p w:rsidR="0070502B" w:rsidRDefault="006438F3" w:rsidP="00C96117">
            <w:pPr>
              <w:pStyle w:val="ListParagraph"/>
              <w:numPr>
                <w:ilvl w:val="0"/>
                <w:numId w:val="8"/>
              </w:numPr>
              <w:spacing w:after="0" w:line="240" w:lineRule="auto"/>
              <w:rPr>
                <w:rFonts w:ascii="Arial" w:hAnsi="Arial" w:cs="Arial"/>
                <w:sz w:val="20"/>
                <w:szCs w:val="18"/>
              </w:rPr>
            </w:pPr>
            <w:r>
              <w:rPr>
                <w:rFonts w:ascii="Arial" w:hAnsi="Arial" w:cs="Arial"/>
                <w:sz w:val="20"/>
                <w:szCs w:val="18"/>
              </w:rPr>
              <w:t>Provide p</w:t>
            </w:r>
            <w:r w:rsidR="0070502B" w:rsidRPr="002C5C87">
              <w:rPr>
                <w:rFonts w:ascii="Arial" w:hAnsi="Arial" w:cs="Arial"/>
                <w:sz w:val="20"/>
                <w:szCs w:val="18"/>
              </w:rPr>
              <w:t xml:space="preserve">atient </w:t>
            </w:r>
            <w:r w:rsidR="0070502B">
              <w:rPr>
                <w:rFonts w:ascii="Arial" w:hAnsi="Arial" w:cs="Arial"/>
                <w:sz w:val="20"/>
                <w:szCs w:val="18"/>
              </w:rPr>
              <w:t>c</w:t>
            </w:r>
            <w:r w:rsidR="0070502B" w:rsidRPr="002C5C87">
              <w:rPr>
                <w:rFonts w:ascii="Arial" w:hAnsi="Arial" w:cs="Arial"/>
                <w:sz w:val="20"/>
                <w:szCs w:val="18"/>
              </w:rPr>
              <w:t>linic letter with PIFU information, including signs and symptoms and contact details for the service – this can be electronic and</w:t>
            </w:r>
            <w:r w:rsidR="0070502B">
              <w:rPr>
                <w:rFonts w:ascii="Arial" w:hAnsi="Arial" w:cs="Arial"/>
                <w:sz w:val="20"/>
                <w:szCs w:val="18"/>
              </w:rPr>
              <w:t>/or hard copy with</w:t>
            </w:r>
            <w:r w:rsidR="0070502B" w:rsidRPr="002C5C87">
              <w:rPr>
                <w:rFonts w:ascii="Arial" w:hAnsi="Arial" w:cs="Arial"/>
                <w:sz w:val="20"/>
                <w:szCs w:val="18"/>
              </w:rPr>
              <w:t xml:space="preserve"> link</w:t>
            </w:r>
            <w:r w:rsidR="0070502B">
              <w:rPr>
                <w:rFonts w:ascii="Arial" w:hAnsi="Arial" w:cs="Arial"/>
                <w:sz w:val="20"/>
                <w:szCs w:val="18"/>
              </w:rPr>
              <w:t xml:space="preserve">s </w:t>
            </w:r>
            <w:r w:rsidR="0070502B" w:rsidRPr="002C5C87">
              <w:rPr>
                <w:rFonts w:ascii="Arial" w:hAnsi="Arial" w:cs="Arial"/>
                <w:sz w:val="20"/>
                <w:szCs w:val="18"/>
              </w:rPr>
              <w:t xml:space="preserve">to the </w:t>
            </w:r>
            <w:r w:rsidR="0070502B">
              <w:rPr>
                <w:rFonts w:ascii="Arial" w:hAnsi="Arial" w:cs="Arial"/>
                <w:sz w:val="20"/>
                <w:szCs w:val="18"/>
              </w:rPr>
              <w:t xml:space="preserve">trust </w:t>
            </w:r>
            <w:r w:rsidR="0070502B" w:rsidRPr="002C5C87">
              <w:rPr>
                <w:rFonts w:ascii="Arial" w:hAnsi="Arial" w:cs="Arial"/>
                <w:sz w:val="20"/>
                <w:szCs w:val="18"/>
              </w:rPr>
              <w:t>website</w:t>
            </w:r>
            <w:r w:rsidR="0070502B">
              <w:rPr>
                <w:rFonts w:ascii="Arial" w:hAnsi="Arial" w:cs="Arial"/>
                <w:sz w:val="20"/>
                <w:szCs w:val="18"/>
              </w:rPr>
              <w:t xml:space="preserve"> for more information </w:t>
            </w:r>
          </w:p>
          <w:p w:rsidR="003C13BC" w:rsidRPr="0037568A" w:rsidRDefault="006438F3" w:rsidP="00C96117">
            <w:pPr>
              <w:pStyle w:val="ListParagraph"/>
              <w:numPr>
                <w:ilvl w:val="0"/>
                <w:numId w:val="8"/>
              </w:numPr>
              <w:spacing w:after="0" w:line="240" w:lineRule="auto"/>
              <w:rPr>
                <w:rFonts w:ascii="Arial" w:hAnsi="Arial" w:cs="Arial"/>
                <w:sz w:val="20"/>
                <w:szCs w:val="18"/>
              </w:rPr>
            </w:pPr>
            <w:r>
              <w:rPr>
                <w:rFonts w:ascii="Arial" w:hAnsi="Arial" w:cs="Arial"/>
                <w:sz w:val="20"/>
                <w:szCs w:val="18"/>
              </w:rPr>
              <w:t>Ensure patient is given link to the PIFU survey</w:t>
            </w:r>
            <w:r w:rsidR="003C13BC">
              <w:rPr>
                <w:rFonts w:ascii="Arial" w:hAnsi="Arial" w:cs="Arial"/>
                <w:sz w:val="20"/>
                <w:szCs w:val="18"/>
              </w:rPr>
              <w:t>, with link provided by trust website and PIFU leaflet</w:t>
            </w:r>
          </w:p>
        </w:tc>
      </w:tr>
      <w:tr w:rsidR="0070502B" w:rsidRPr="002C5C87" w:rsidTr="00D93FB7">
        <w:trPr>
          <w:trHeight w:val="1210"/>
        </w:trPr>
        <w:tc>
          <w:tcPr>
            <w:tcW w:w="2750" w:type="dxa"/>
            <w:shd w:val="clear" w:color="auto" w:fill="auto"/>
            <w:vAlign w:val="center"/>
          </w:tcPr>
          <w:p w:rsidR="0070502B" w:rsidRPr="00F97DD3" w:rsidRDefault="0070502B" w:rsidP="00D93FB7">
            <w:pPr>
              <w:spacing w:after="0" w:line="240" w:lineRule="auto"/>
              <w:rPr>
                <w:rFonts w:ascii="Arial" w:hAnsi="Arial" w:cs="Arial"/>
                <w:sz w:val="24"/>
                <w:szCs w:val="24"/>
              </w:rPr>
            </w:pPr>
            <w:r w:rsidRPr="00F97DD3">
              <w:rPr>
                <w:rFonts w:ascii="Arial" w:hAnsi="Arial" w:cs="Arial"/>
                <w:sz w:val="24"/>
                <w:szCs w:val="24"/>
              </w:rPr>
              <w:t>Clinicians</w:t>
            </w:r>
          </w:p>
        </w:tc>
        <w:tc>
          <w:tcPr>
            <w:tcW w:w="6459" w:type="dxa"/>
            <w:shd w:val="clear" w:color="auto" w:fill="auto"/>
            <w:vAlign w:val="center"/>
          </w:tcPr>
          <w:p w:rsidR="0070502B" w:rsidRPr="002C5C87" w:rsidRDefault="0070502B" w:rsidP="0070502B">
            <w:pPr>
              <w:pStyle w:val="ListParagraph"/>
              <w:numPr>
                <w:ilvl w:val="0"/>
                <w:numId w:val="9"/>
              </w:numPr>
              <w:spacing w:after="0" w:line="240" w:lineRule="auto"/>
              <w:rPr>
                <w:rFonts w:ascii="Arial" w:hAnsi="Arial" w:cs="Arial"/>
                <w:sz w:val="20"/>
                <w:szCs w:val="18"/>
              </w:rPr>
            </w:pPr>
            <w:r w:rsidRPr="002C5C87">
              <w:rPr>
                <w:rFonts w:ascii="Arial" w:hAnsi="Arial" w:cs="Arial"/>
                <w:sz w:val="20"/>
                <w:szCs w:val="18"/>
              </w:rPr>
              <w:t>Agreeing clinical protocol(s) and Standard Operating Procedure for the service (particularly plans to manage capacity)</w:t>
            </w:r>
          </w:p>
          <w:p w:rsidR="0070502B" w:rsidRPr="0037568A" w:rsidRDefault="0070502B" w:rsidP="0070502B">
            <w:pPr>
              <w:pStyle w:val="ListParagraph"/>
              <w:numPr>
                <w:ilvl w:val="0"/>
                <w:numId w:val="9"/>
              </w:numPr>
              <w:spacing w:after="0" w:line="240" w:lineRule="auto"/>
              <w:rPr>
                <w:rFonts w:ascii="Arial" w:hAnsi="Arial" w:cs="Arial"/>
                <w:sz w:val="20"/>
                <w:szCs w:val="18"/>
              </w:rPr>
            </w:pPr>
            <w:r w:rsidRPr="002C5C87">
              <w:rPr>
                <w:rFonts w:ascii="Arial" w:hAnsi="Arial" w:cs="Arial"/>
                <w:sz w:val="20"/>
                <w:szCs w:val="18"/>
              </w:rPr>
              <w:t xml:space="preserve">Protocol to be signed off by </w:t>
            </w:r>
            <w:r w:rsidRPr="002C5C87">
              <w:rPr>
                <w:rFonts w:ascii="Arial" w:hAnsi="Arial" w:cs="Arial"/>
                <w:color w:val="000000" w:themeColor="text1"/>
                <w:sz w:val="20"/>
                <w:szCs w:val="18"/>
              </w:rPr>
              <w:t xml:space="preserve">Clinical Director and go through the Directorate / Divisional Governance process  </w:t>
            </w:r>
          </w:p>
          <w:p w:rsidR="0070502B" w:rsidRPr="0037568A" w:rsidRDefault="0070502B" w:rsidP="0070502B">
            <w:pPr>
              <w:pStyle w:val="ListParagraph"/>
              <w:numPr>
                <w:ilvl w:val="0"/>
                <w:numId w:val="9"/>
              </w:numPr>
              <w:spacing w:after="0" w:line="240" w:lineRule="auto"/>
              <w:rPr>
                <w:rFonts w:ascii="Arial" w:hAnsi="Arial" w:cs="Arial"/>
                <w:sz w:val="20"/>
                <w:szCs w:val="18"/>
              </w:rPr>
            </w:pPr>
            <w:r w:rsidRPr="002C5C87">
              <w:rPr>
                <w:rFonts w:ascii="Arial" w:hAnsi="Arial" w:cs="Arial"/>
                <w:sz w:val="20"/>
                <w:szCs w:val="18"/>
              </w:rPr>
              <w:t>Cascading</w:t>
            </w:r>
            <w:r>
              <w:rPr>
                <w:rFonts w:ascii="Arial" w:hAnsi="Arial" w:cs="Arial"/>
                <w:sz w:val="20"/>
                <w:szCs w:val="18"/>
              </w:rPr>
              <w:t xml:space="preserve"> an</w:t>
            </w:r>
            <w:r w:rsidRPr="002C5C87">
              <w:rPr>
                <w:rFonts w:ascii="Arial" w:hAnsi="Arial" w:cs="Arial"/>
                <w:sz w:val="20"/>
                <w:szCs w:val="18"/>
              </w:rPr>
              <w:t xml:space="preserve"> implementation plan to specialty colleagues once agreed</w:t>
            </w:r>
          </w:p>
        </w:tc>
      </w:tr>
      <w:tr w:rsidR="0070502B" w:rsidRPr="002C5C87" w:rsidTr="00D93FB7">
        <w:trPr>
          <w:trHeight w:val="667"/>
        </w:trPr>
        <w:tc>
          <w:tcPr>
            <w:tcW w:w="2750" w:type="dxa"/>
            <w:shd w:val="clear" w:color="auto" w:fill="auto"/>
            <w:vAlign w:val="center"/>
          </w:tcPr>
          <w:p w:rsidR="0070502B" w:rsidRPr="00F97DD3" w:rsidRDefault="0070502B" w:rsidP="00D93FB7">
            <w:pPr>
              <w:spacing w:after="0" w:line="240" w:lineRule="auto"/>
              <w:rPr>
                <w:rFonts w:ascii="Arial" w:hAnsi="Arial" w:cs="Arial"/>
                <w:sz w:val="24"/>
                <w:szCs w:val="24"/>
              </w:rPr>
            </w:pPr>
            <w:r w:rsidRPr="00F97DD3">
              <w:rPr>
                <w:rFonts w:ascii="Arial" w:hAnsi="Arial" w:cs="Arial"/>
                <w:sz w:val="24"/>
                <w:szCs w:val="24"/>
              </w:rPr>
              <w:t>Designated PIFU Co-ordinator (likely to be medical secretary)</w:t>
            </w:r>
          </w:p>
        </w:tc>
        <w:tc>
          <w:tcPr>
            <w:tcW w:w="6459" w:type="dxa"/>
            <w:shd w:val="clear" w:color="auto" w:fill="auto"/>
            <w:vAlign w:val="center"/>
          </w:tcPr>
          <w:p w:rsidR="0070502B" w:rsidRPr="002C5C87" w:rsidRDefault="0070502B" w:rsidP="00D93FB7">
            <w:pPr>
              <w:spacing w:after="0" w:line="240" w:lineRule="auto"/>
              <w:rPr>
                <w:rFonts w:ascii="Arial" w:hAnsi="Arial" w:cs="Arial"/>
                <w:sz w:val="20"/>
                <w:szCs w:val="18"/>
              </w:rPr>
            </w:pPr>
          </w:p>
          <w:p w:rsidR="0070502B" w:rsidRPr="002C5C87" w:rsidRDefault="0070502B" w:rsidP="0070502B">
            <w:pPr>
              <w:pStyle w:val="ListParagraph"/>
              <w:numPr>
                <w:ilvl w:val="0"/>
                <w:numId w:val="10"/>
              </w:numPr>
              <w:spacing w:after="0" w:line="240" w:lineRule="auto"/>
              <w:rPr>
                <w:rFonts w:ascii="Arial" w:hAnsi="Arial" w:cs="Arial"/>
                <w:sz w:val="20"/>
                <w:szCs w:val="18"/>
              </w:rPr>
            </w:pPr>
            <w:r w:rsidRPr="002C5C87">
              <w:rPr>
                <w:rFonts w:ascii="Arial" w:hAnsi="Arial" w:cs="Arial"/>
                <w:sz w:val="20"/>
                <w:szCs w:val="18"/>
              </w:rPr>
              <w:t>Ensuring staff have been trained appropriately on the process and are informed of implementation dates</w:t>
            </w:r>
          </w:p>
          <w:p w:rsidR="0070502B" w:rsidRPr="002C5C87" w:rsidRDefault="0070502B" w:rsidP="00D93FB7">
            <w:pPr>
              <w:spacing w:after="0" w:line="240" w:lineRule="auto"/>
              <w:rPr>
                <w:rFonts w:ascii="Arial" w:hAnsi="Arial" w:cs="Arial"/>
                <w:sz w:val="20"/>
                <w:szCs w:val="18"/>
              </w:rPr>
            </w:pPr>
          </w:p>
        </w:tc>
      </w:tr>
      <w:tr w:rsidR="0070502B" w:rsidRPr="002C5C87" w:rsidTr="00D93FB7">
        <w:trPr>
          <w:trHeight w:val="512"/>
        </w:trPr>
        <w:tc>
          <w:tcPr>
            <w:tcW w:w="2750" w:type="dxa"/>
            <w:shd w:val="clear" w:color="auto" w:fill="auto"/>
            <w:vAlign w:val="center"/>
          </w:tcPr>
          <w:p w:rsidR="0070502B" w:rsidRPr="00F97DD3" w:rsidRDefault="0070502B" w:rsidP="00D93FB7">
            <w:pPr>
              <w:spacing w:after="0" w:line="240" w:lineRule="auto"/>
              <w:rPr>
                <w:rFonts w:ascii="Arial" w:hAnsi="Arial" w:cs="Arial"/>
                <w:sz w:val="24"/>
                <w:szCs w:val="24"/>
              </w:rPr>
            </w:pPr>
            <w:r w:rsidRPr="00F97DD3">
              <w:rPr>
                <w:rFonts w:ascii="Arial" w:hAnsi="Arial" w:cs="Arial"/>
                <w:sz w:val="24"/>
                <w:szCs w:val="24"/>
              </w:rPr>
              <w:lastRenderedPageBreak/>
              <w:t>Reporting &amp; Analytics</w:t>
            </w:r>
          </w:p>
        </w:tc>
        <w:tc>
          <w:tcPr>
            <w:tcW w:w="6459" w:type="dxa"/>
            <w:shd w:val="clear" w:color="auto" w:fill="auto"/>
            <w:vAlign w:val="center"/>
          </w:tcPr>
          <w:p w:rsidR="0070502B" w:rsidRPr="002C5C87" w:rsidRDefault="003C13BC" w:rsidP="0070502B">
            <w:pPr>
              <w:pStyle w:val="ListParagraph"/>
              <w:numPr>
                <w:ilvl w:val="0"/>
                <w:numId w:val="10"/>
              </w:numPr>
              <w:spacing w:after="0" w:line="240" w:lineRule="auto"/>
              <w:rPr>
                <w:rFonts w:ascii="Arial" w:hAnsi="Arial" w:cs="Arial"/>
                <w:sz w:val="20"/>
                <w:szCs w:val="18"/>
              </w:rPr>
            </w:pPr>
            <w:r>
              <w:rPr>
                <w:rFonts w:ascii="Arial" w:hAnsi="Arial" w:cs="Arial"/>
                <w:sz w:val="20"/>
                <w:szCs w:val="18"/>
              </w:rPr>
              <w:t>Ensuring use of agreed standard operating process for recording of PIFU</w:t>
            </w:r>
          </w:p>
        </w:tc>
      </w:tr>
      <w:tr w:rsidR="0070502B" w:rsidRPr="002C5C87" w:rsidTr="00D93FB7">
        <w:trPr>
          <w:trHeight w:val="492"/>
        </w:trPr>
        <w:tc>
          <w:tcPr>
            <w:tcW w:w="2750" w:type="dxa"/>
            <w:shd w:val="clear" w:color="auto" w:fill="auto"/>
            <w:vAlign w:val="center"/>
          </w:tcPr>
          <w:p w:rsidR="0070502B" w:rsidRPr="00F97DD3" w:rsidRDefault="0070502B" w:rsidP="00D93FB7">
            <w:pPr>
              <w:spacing w:after="0" w:line="240" w:lineRule="auto"/>
              <w:rPr>
                <w:rFonts w:ascii="Arial" w:hAnsi="Arial" w:cs="Arial"/>
                <w:sz w:val="24"/>
                <w:szCs w:val="24"/>
              </w:rPr>
            </w:pPr>
            <w:r w:rsidRPr="00F97DD3">
              <w:rPr>
                <w:rFonts w:ascii="Arial" w:hAnsi="Arial" w:cs="Arial"/>
                <w:sz w:val="24"/>
                <w:szCs w:val="24"/>
              </w:rPr>
              <w:t xml:space="preserve">PALS and Complaints </w:t>
            </w:r>
          </w:p>
        </w:tc>
        <w:tc>
          <w:tcPr>
            <w:tcW w:w="6459" w:type="dxa"/>
            <w:shd w:val="clear" w:color="auto" w:fill="auto"/>
            <w:vAlign w:val="center"/>
          </w:tcPr>
          <w:p w:rsidR="0070502B" w:rsidRPr="001D1EA5" w:rsidRDefault="0070502B" w:rsidP="003C13BC">
            <w:pPr>
              <w:pStyle w:val="ListParagraph"/>
              <w:numPr>
                <w:ilvl w:val="0"/>
                <w:numId w:val="10"/>
              </w:numPr>
              <w:spacing w:after="0" w:line="240" w:lineRule="auto"/>
              <w:rPr>
                <w:rFonts w:ascii="Arial" w:hAnsi="Arial" w:cs="Arial"/>
                <w:sz w:val="20"/>
                <w:szCs w:val="18"/>
              </w:rPr>
            </w:pPr>
            <w:r w:rsidRPr="001D1EA5">
              <w:rPr>
                <w:rFonts w:ascii="Arial" w:hAnsi="Arial" w:cs="Arial"/>
                <w:sz w:val="20"/>
                <w:szCs w:val="18"/>
              </w:rPr>
              <w:t xml:space="preserve">Informing PALS and Complaints team </w:t>
            </w:r>
            <w:r w:rsidR="003C13BC">
              <w:rPr>
                <w:rFonts w:ascii="Arial" w:hAnsi="Arial" w:cs="Arial"/>
                <w:sz w:val="20"/>
                <w:szCs w:val="18"/>
              </w:rPr>
              <w:t>of contact details for patient use prior to going live</w:t>
            </w:r>
          </w:p>
        </w:tc>
      </w:tr>
    </w:tbl>
    <w:p w:rsidR="00E87C1C" w:rsidRDefault="00E87C1C" w:rsidP="0070502B">
      <w:pPr>
        <w:rPr>
          <w:rFonts w:ascii="Arial" w:hAnsi="Arial" w:cs="Arial"/>
          <w:b/>
          <w:bCs/>
          <w:color w:val="000000" w:themeColor="text1"/>
          <w:sz w:val="24"/>
          <w:szCs w:val="24"/>
        </w:rPr>
      </w:pPr>
    </w:p>
    <w:p w:rsidR="006438F3" w:rsidRDefault="006438F3" w:rsidP="0070502B">
      <w:pPr>
        <w:rPr>
          <w:rFonts w:ascii="Arial" w:hAnsi="Arial" w:cs="Arial"/>
          <w:b/>
          <w:bCs/>
          <w:sz w:val="24"/>
          <w:szCs w:val="24"/>
        </w:rPr>
      </w:pPr>
    </w:p>
    <w:p w:rsidR="0070502B" w:rsidRPr="001232AC" w:rsidRDefault="0070502B" w:rsidP="0070502B">
      <w:pPr>
        <w:rPr>
          <w:rFonts w:ascii="Arial" w:hAnsi="Arial" w:cs="Arial"/>
          <w:b/>
          <w:bCs/>
          <w:sz w:val="24"/>
          <w:szCs w:val="24"/>
        </w:rPr>
      </w:pPr>
      <w:r w:rsidRPr="001232AC">
        <w:rPr>
          <w:rFonts w:ascii="Arial" w:hAnsi="Arial" w:cs="Arial"/>
          <w:b/>
          <w:bCs/>
          <w:sz w:val="24"/>
          <w:szCs w:val="24"/>
        </w:rPr>
        <w:t>Sign-off Process</w:t>
      </w:r>
    </w:p>
    <w:p w:rsidR="00350346" w:rsidRPr="006438F3" w:rsidRDefault="0070502B" w:rsidP="00F97DD3">
      <w:pPr>
        <w:pStyle w:val="ListParagraph"/>
        <w:numPr>
          <w:ilvl w:val="0"/>
          <w:numId w:val="11"/>
        </w:numPr>
        <w:rPr>
          <w:rFonts w:ascii="Arial" w:hAnsi="Arial" w:cs="Arial"/>
          <w:sz w:val="24"/>
          <w:szCs w:val="24"/>
        </w:rPr>
      </w:pPr>
      <w:r w:rsidRPr="001232AC">
        <w:rPr>
          <w:rFonts w:ascii="Arial" w:hAnsi="Arial" w:cs="Arial"/>
          <w:sz w:val="24"/>
          <w:szCs w:val="24"/>
        </w:rPr>
        <w:t>Before starting implementation of PIFU, the service should submit the sign off template to their relevant divisional board. This is to ensure that the service is fully prepared and the implementation plan has adequately mitigated any risks.</w:t>
      </w:r>
    </w:p>
    <w:p w:rsidR="00350346" w:rsidRDefault="00350346" w:rsidP="00F97DD3">
      <w:pPr>
        <w:rPr>
          <w:rFonts w:ascii="Arial" w:hAnsi="Arial" w:cs="Arial"/>
          <w:b/>
          <w:bCs/>
          <w:color w:val="000000" w:themeColor="text1"/>
          <w:sz w:val="24"/>
          <w:szCs w:val="24"/>
        </w:rPr>
      </w:pPr>
    </w:p>
    <w:p w:rsidR="00F97DD3" w:rsidRPr="00F97DD3" w:rsidRDefault="00F97DD3" w:rsidP="00F97DD3">
      <w:pPr>
        <w:rPr>
          <w:rFonts w:ascii="Arial" w:hAnsi="Arial" w:cs="Arial"/>
          <w:b/>
          <w:bCs/>
          <w:color w:val="000000" w:themeColor="text1"/>
          <w:sz w:val="24"/>
          <w:szCs w:val="24"/>
        </w:rPr>
      </w:pPr>
      <w:r w:rsidRPr="00F97DD3">
        <w:rPr>
          <w:rFonts w:ascii="Arial" w:hAnsi="Arial" w:cs="Arial"/>
          <w:b/>
          <w:bCs/>
          <w:color w:val="000000" w:themeColor="text1"/>
          <w:sz w:val="24"/>
          <w:szCs w:val="24"/>
        </w:rPr>
        <w:t>Roles and Responsibilities</w:t>
      </w:r>
    </w:p>
    <w:p w:rsidR="00F97DD3" w:rsidRDefault="00F97DD3" w:rsidP="00F97DD3">
      <w:pPr>
        <w:rPr>
          <w:rFonts w:ascii="Arial" w:hAnsi="Arial" w:cs="Arial"/>
          <w:sz w:val="24"/>
          <w:szCs w:val="24"/>
        </w:rPr>
      </w:pPr>
      <w:r w:rsidRPr="00F97DD3">
        <w:rPr>
          <w:rFonts w:ascii="Arial" w:hAnsi="Arial" w:cs="Arial"/>
          <w:sz w:val="24"/>
          <w:szCs w:val="24"/>
        </w:rPr>
        <w:t>It is essential that all staff involved in or impacted by implementing a PIFU service fully understand what the PIFU pathway is and are clear about their roles and responsibilities in order that it functions effectively and efficiently.  These are as follows:</w:t>
      </w:r>
    </w:p>
    <w:tbl>
      <w:tblPr>
        <w:tblStyle w:val="TableGrid"/>
        <w:tblW w:w="9923" w:type="dxa"/>
        <w:tblInd w:w="-572" w:type="dxa"/>
        <w:tblLook w:val="04A0" w:firstRow="1" w:lastRow="0" w:firstColumn="1" w:lastColumn="0" w:noHBand="0" w:noVBand="1"/>
      </w:tblPr>
      <w:tblGrid>
        <w:gridCol w:w="2522"/>
        <w:gridCol w:w="7401"/>
      </w:tblGrid>
      <w:tr w:rsidR="009B3014" w:rsidRPr="00DF166A" w:rsidTr="00850B3F">
        <w:trPr>
          <w:trHeight w:val="608"/>
          <w:tblHeader/>
        </w:trPr>
        <w:tc>
          <w:tcPr>
            <w:tcW w:w="2522" w:type="dxa"/>
            <w:vAlign w:val="center"/>
          </w:tcPr>
          <w:p w:rsidR="009B3014" w:rsidRPr="00DF166A" w:rsidRDefault="009B3014" w:rsidP="00422ABE">
            <w:pPr>
              <w:jc w:val="center"/>
              <w:rPr>
                <w:rFonts w:cs="Arial"/>
                <w:b/>
                <w:szCs w:val="24"/>
              </w:rPr>
            </w:pPr>
            <w:r w:rsidRPr="00DF166A">
              <w:rPr>
                <w:rFonts w:cs="Arial"/>
                <w:b/>
                <w:szCs w:val="24"/>
              </w:rPr>
              <w:t>Role</w:t>
            </w:r>
          </w:p>
        </w:tc>
        <w:tc>
          <w:tcPr>
            <w:tcW w:w="7401" w:type="dxa"/>
            <w:vAlign w:val="center"/>
          </w:tcPr>
          <w:p w:rsidR="009B3014" w:rsidRPr="00DF166A" w:rsidRDefault="009B3014" w:rsidP="00422ABE">
            <w:pPr>
              <w:jc w:val="center"/>
              <w:rPr>
                <w:rFonts w:cs="Arial"/>
                <w:b/>
                <w:szCs w:val="24"/>
              </w:rPr>
            </w:pPr>
            <w:r w:rsidRPr="00DF166A">
              <w:rPr>
                <w:rFonts w:cs="Arial"/>
                <w:b/>
                <w:szCs w:val="24"/>
              </w:rPr>
              <w:t>Responsibilities</w:t>
            </w:r>
          </w:p>
        </w:tc>
      </w:tr>
      <w:tr w:rsidR="009B3014" w:rsidRPr="00DF166A" w:rsidTr="00850B3F">
        <w:tc>
          <w:tcPr>
            <w:tcW w:w="2522" w:type="dxa"/>
          </w:tcPr>
          <w:p w:rsidR="009B3014" w:rsidRPr="00DF166A" w:rsidRDefault="009B3014" w:rsidP="00422ABE">
            <w:pPr>
              <w:rPr>
                <w:rFonts w:cs="Arial"/>
                <w:b/>
                <w:szCs w:val="24"/>
              </w:rPr>
            </w:pPr>
            <w:r w:rsidRPr="009B3014">
              <w:rPr>
                <w:rFonts w:ascii="Arial" w:hAnsi="Arial" w:cs="Arial"/>
                <w:sz w:val="24"/>
                <w:szCs w:val="24"/>
              </w:rPr>
              <w:t>Clinicians</w:t>
            </w:r>
          </w:p>
        </w:tc>
        <w:tc>
          <w:tcPr>
            <w:tcW w:w="7401" w:type="dxa"/>
          </w:tcPr>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Agree a clinical protocol that includes clear criteria and follow up timescales for the patient cohort identified as suitable.</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Have a shared decision making conversation with the patient explaining the options, risks and benefits</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that the patient understands the PIFU process and agrees to being on the PIFU pathway, and what will happen at the end of it.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Educate the patient about self-management, develop a personalised care and support plan and share it with the patient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Provide information about symptoms to watch for, patient information leaflet and a completed guide card to the patient.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Indicate correctly on the clinic outcome form that the patient should be placed on a PIFU pathway and for how long.</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Explain patient is on a PIFU pathway in the clinic letter and how the patient can activate a follow up appointment within the specified timescale.</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Agree with operations manager the maximum waiting time for appointment following a patient initiating contact.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Share information about PIFU with the patient’s GP.</w:t>
            </w:r>
          </w:p>
          <w:p w:rsidR="009B3014" w:rsidRPr="00DF166A" w:rsidRDefault="009B3014" w:rsidP="009B3014">
            <w:pPr>
              <w:pStyle w:val="ListParagraph"/>
              <w:numPr>
                <w:ilvl w:val="0"/>
                <w:numId w:val="20"/>
              </w:numPr>
              <w:spacing w:after="120"/>
              <w:contextualSpacing w:val="0"/>
              <w:rPr>
                <w:rFonts w:cs="Arial"/>
                <w:noProof/>
                <w:szCs w:val="24"/>
              </w:rPr>
            </w:pPr>
            <w:r w:rsidRPr="009B3014">
              <w:rPr>
                <w:rFonts w:ascii="Arial" w:hAnsi="Arial" w:cs="Arial"/>
                <w:sz w:val="24"/>
                <w:szCs w:val="24"/>
              </w:rPr>
              <w:lastRenderedPageBreak/>
              <w:t>Triage the patients when they call for a PIFU appointment</w:t>
            </w:r>
            <w:r w:rsidRPr="00DF166A">
              <w:rPr>
                <w:rFonts w:cs="Arial"/>
                <w:noProof/>
                <w:szCs w:val="24"/>
              </w:rPr>
              <w:t>.</w:t>
            </w:r>
          </w:p>
          <w:p w:rsidR="009B3014" w:rsidRPr="009B3014" w:rsidRDefault="009B3014" w:rsidP="009B3014">
            <w:pPr>
              <w:pStyle w:val="ListParagraph"/>
              <w:numPr>
                <w:ilvl w:val="0"/>
                <w:numId w:val="20"/>
              </w:numPr>
              <w:spacing w:after="280" w:line="360" w:lineRule="atLeast"/>
              <w:contextualSpacing w:val="0"/>
              <w:rPr>
                <w:rFonts w:ascii="Arial" w:hAnsi="Arial" w:cs="Arial"/>
                <w:sz w:val="24"/>
                <w:szCs w:val="24"/>
              </w:rPr>
            </w:pPr>
            <w:r w:rsidRPr="009B3014">
              <w:rPr>
                <w:rFonts w:ascii="Arial" w:hAnsi="Arial" w:cs="Arial"/>
                <w:sz w:val="24"/>
                <w:szCs w:val="24"/>
              </w:rPr>
              <w:t>Take the clinical decision to restart the PIFU clock; or mark the patient for automatic discharge/review at the end of their timescale, at their PIFU consultation.</w:t>
            </w:r>
          </w:p>
          <w:p w:rsidR="009B3014" w:rsidRPr="00780BC2" w:rsidRDefault="009B3014" w:rsidP="009B3014">
            <w:pPr>
              <w:pStyle w:val="ListParagraph"/>
              <w:numPr>
                <w:ilvl w:val="0"/>
                <w:numId w:val="20"/>
              </w:numPr>
              <w:spacing w:after="120"/>
              <w:contextualSpacing w:val="0"/>
              <w:rPr>
                <w:rFonts w:cs="Arial"/>
                <w:b/>
                <w:noProof/>
                <w:szCs w:val="24"/>
              </w:rPr>
            </w:pPr>
            <w:r w:rsidRPr="009B3014">
              <w:rPr>
                <w:rFonts w:ascii="Arial" w:hAnsi="Arial" w:cs="Arial"/>
                <w:sz w:val="24"/>
                <w:szCs w:val="24"/>
              </w:rPr>
              <w:t>Decide on further management if a patient does not attend their appointment, such as discharge the patient or rebook a further follow up appointment.</w:t>
            </w:r>
            <w:r w:rsidRPr="00DF166A">
              <w:rPr>
                <w:rFonts w:cs="Arial"/>
                <w:szCs w:val="24"/>
              </w:rPr>
              <w:t xml:space="preserve"> </w:t>
            </w:r>
          </w:p>
        </w:tc>
      </w:tr>
      <w:tr w:rsidR="009B3014" w:rsidRPr="00DF166A" w:rsidTr="00850B3F">
        <w:tc>
          <w:tcPr>
            <w:tcW w:w="2522" w:type="dxa"/>
          </w:tcPr>
          <w:p w:rsidR="009B3014" w:rsidRPr="00DF166A" w:rsidRDefault="009B3014" w:rsidP="00422ABE">
            <w:pPr>
              <w:rPr>
                <w:rFonts w:cs="Arial"/>
                <w:b/>
                <w:noProof/>
                <w:szCs w:val="24"/>
              </w:rPr>
            </w:pPr>
            <w:r w:rsidRPr="009B3014">
              <w:rPr>
                <w:rFonts w:ascii="Arial" w:hAnsi="Arial" w:cs="Arial"/>
                <w:sz w:val="24"/>
                <w:szCs w:val="24"/>
              </w:rPr>
              <w:lastRenderedPageBreak/>
              <w:t>Specialty team (including nurses, administrators, medical secretaries etc)</w:t>
            </w:r>
          </w:p>
        </w:tc>
        <w:tc>
          <w:tcPr>
            <w:tcW w:w="7401" w:type="dxa"/>
          </w:tcPr>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Send the condition-specific information leaflet to the patient with symptoms and signs for initiating a PIFU appointment.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Call the patient back and do triage as required, when prompted by the Booking team to discuss/arrange an appointment.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Arrange appointment with clinician as appropriate following the triage within the agreed timescale.</w:t>
            </w:r>
          </w:p>
        </w:tc>
      </w:tr>
      <w:tr w:rsidR="009B3014" w:rsidRPr="00DF166A" w:rsidTr="00850B3F">
        <w:tc>
          <w:tcPr>
            <w:tcW w:w="2522" w:type="dxa"/>
          </w:tcPr>
          <w:p w:rsidR="009B3014" w:rsidRPr="00DF166A" w:rsidRDefault="009B3014" w:rsidP="00422ABE">
            <w:pPr>
              <w:rPr>
                <w:rFonts w:cs="Arial"/>
                <w:b/>
                <w:szCs w:val="24"/>
              </w:rPr>
            </w:pPr>
            <w:r w:rsidRPr="009B3014">
              <w:rPr>
                <w:rFonts w:ascii="Arial" w:hAnsi="Arial" w:cs="Arial"/>
                <w:sz w:val="24"/>
                <w:szCs w:val="24"/>
              </w:rPr>
              <w:t>Operations managers</w:t>
            </w:r>
          </w:p>
        </w:tc>
        <w:tc>
          <w:tcPr>
            <w:tcW w:w="7401" w:type="dxa"/>
          </w:tcPr>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there is a clear process for patient to contact the service for a PIFU appointment.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that there is a designated PIFU coordinator for the service.</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responsibilties are agreed with the Booking</w:t>
            </w:r>
            <w:r w:rsidR="00350346">
              <w:rPr>
                <w:rFonts w:ascii="Arial" w:hAnsi="Arial" w:cs="Arial"/>
                <w:sz w:val="24"/>
                <w:szCs w:val="24"/>
              </w:rPr>
              <w:t>s</w:t>
            </w:r>
            <w:r w:rsidRPr="009B3014">
              <w:rPr>
                <w:rFonts w:ascii="Arial" w:hAnsi="Arial" w:cs="Arial"/>
                <w:sz w:val="24"/>
                <w:szCs w:val="24"/>
              </w:rPr>
              <w:t xml:space="preserve"> team.</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Have a clear plan in place to manage capacity so that PIFU appointments can be accommodated in clinic within the agreed maximum waiting time, and PIFU appointments are prioritised in line with other waiting list targets.</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any clinic template changes have been made on how patients will be logged into the system, and all staff have been sighted on and understand the process.</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Ensure that the clinical protocol has been signed off by the service lead clinician.</w:t>
            </w:r>
          </w:p>
          <w:p w:rsidR="009B3014" w:rsidRPr="00F97DD3" w:rsidRDefault="009B3014" w:rsidP="009B3014">
            <w:pPr>
              <w:pStyle w:val="ListParagraph"/>
              <w:numPr>
                <w:ilvl w:val="0"/>
                <w:numId w:val="20"/>
              </w:numPr>
              <w:contextualSpacing w:val="0"/>
              <w:rPr>
                <w:rFonts w:ascii="Arial" w:hAnsi="Arial" w:cs="Arial"/>
                <w:sz w:val="24"/>
                <w:szCs w:val="24"/>
              </w:rPr>
            </w:pPr>
            <w:r>
              <w:rPr>
                <w:rFonts w:ascii="Arial" w:hAnsi="Arial" w:cs="Arial"/>
                <w:sz w:val="24"/>
                <w:szCs w:val="24"/>
              </w:rPr>
              <w:t>To ensure any additional</w:t>
            </w:r>
            <w:r w:rsidRPr="00F97DD3">
              <w:rPr>
                <w:rFonts w:ascii="Arial" w:hAnsi="Arial" w:cs="Arial"/>
                <w:sz w:val="24"/>
                <w:szCs w:val="24"/>
              </w:rPr>
              <w:t xml:space="preserve"> information</w:t>
            </w:r>
            <w:r>
              <w:rPr>
                <w:rFonts w:ascii="Arial" w:hAnsi="Arial" w:cs="Arial"/>
                <w:sz w:val="24"/>
                <w:szCs w:val="24"/>
              </w:rPr>
              <w:t xml:space="preserve"> for the website beyond that provided for the trust regarding PIFU</w:t>
            </w:r>
            <w:r w:rsidRPr="00F97DD3">
              <w:rPr>
                <w:rFonts w:ascii="Arial" w:hAnsi="Arial" w:cs="Arial"/>
                <w:sz w:val="24"/>
                <w:szCs w:val="24"/>
              </w:rPr>
              <w:t xml:space="preserve"> has been signed off by the comms team</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 xml:space="preserve">Provide the appointment booking team and PALS with up-to-date contact details for the service PIFU coordinator </w:t>
            </w:r>
            <w:r>
              <w:rPr>
                <w:rFonts w:ascii="Arial" w:hAnsi="Arial" w:cs="Arial"/>
                <w:sz w:val="24"/>
                <w:szCs w:val="24"/>
              </w:rPr>
              <w:t>if any changes are made</w:t>
            </w:r>
            <w:r w:rsidRPr="009B3014">
              <w:rPr>
                <w:rFonts w:ascii="Arial" w:hAnsi="Arial" w:cs="Arial"/>
                <w:sz w:val="24"/>
                <w:szCs w:val="24"/>
              </w:rPr>
              <w: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Monitor, validate and review the PIFU data provided via the outpatient dashboard and clinical PAS system.</w:t>
            </w:r>
          </w:p>
          <w:p w:rsidR="009B3014" w:rsidRDefault="009B3014" w:rsidP="009B3014">
            <w:pPr>
              <w:pStyle w:val="ListParagraph"/>
              <w:numPr>
                <w:ilvl w:val="0"/>
                <w:numId w:val="20"/>
              </w:numPr>
              <w:contextualSpacing w:val="0"/>
              <w:rPr>
                <w:rFonts w:ascii="Arial" w:hAnsi="Arial" w:cs="Arial"/>
                <w:sz w:val="24"/>
                <w:szCs w:val="24"/>
              </w:rPr>
            </w:pPr>
            <w:r w:rsidRPr="00F97DD3">
              <w:rPr>
                <w:rFonts w:ascii="Arial" w:hAnsi="Arial" w:cs="Arial"/>
                <w:sz w:val="24"/>
                <w:szCs w:val="24"/>
              </w:rPr>
              <w:t xml:space="preserve">To set up a system </w:t>
            </w:r>
            <w:r>
              <w:rPr>
                <w:rFonts w:ascii="Arial" w:hAnsi="Arial" w:cs="Arial"/>
                <w:sz w:val="24"/>
                <w:szCs w:val="24"/>
              </w:rPr>
              <w:t xml:space="preserve">for capturing staff </w:t>
            </w:r>
            <w:r w:rsidRPr="00F97DD3">
              <w:rPr>
                <w:rFonts w:ascii="Arial" w:hAnsi="Arial" w:cs="Arial"/>
                <w:sz w:val="24"/>
                <w:szCs w:val="24"/>
              </w:rPr>
              <w:t>feedback and monitor this regularly so that any issues can be addressed and the process can be refined</w:t>
            </w:r>
          </w:p>
          <w:p w:rsidR="009B3014" w:rsidRPr="009B3014" w:rsidRDefault="009B3014" w:rsidP="009B3014">
            <w:pPr>
              <w:pStyle w:val="ListParagraph"/>
              <w:numPr>
                <w:ilvl w:val="0"/>
                <w:numId w:val="20"/>
              </w:numPr>
              <w:contextualSpacing w:val="0"/>
              <w:rPr>
                <w:rFonts w:ascii="Arial" w:hAnsi="Arial" w:cs="Arial"/>
                <w:sz w:val="24"/>
                <w:szCs w:val="24"/>
              </w:rPr>
            </w:pPr>
            <w:r>
              <w:rPr>
                <w:rFonts w:ascii="Arial" w:hAnsi="Arial" w:cs="Arial"/>
                <w:sz w:val="24"/>
                <w:szCs w:val="24"/>
              </w:rPr>
              <w:lastRenderedPageBreak/>
              <w:t>To review the PIFU patient survey results for their specialty to ensure any issues can be addressed and the process can be refined</w:t>
            </w:r>
          </w:p>
        </w:tc>
      </w:tr>
      <w:tr w:rsidR="009B3014" w:rsidRPr="00DF166A" w:rsidTr="00850B3F">
        <w:tc>
          <w:tcPr>
            <w:tcW w:w="2522" w:type="dxa"/>
          </w:tcPr>
          <w:p w:rsidR="009B3014" w:rsidRPr="00DF166A" w:rsidRDefault="009B3014" w:rsidP="00422ABE">
            <w:pPr>
              <w:rPr>
                <w:rFonts w:cs="Arial"/>
                <w:b/>
                <w:szCs w:val="24"/>
              </w:rPr>
            </w:pPr>
            <w:r w:rsidRPr="009B3014">
              <w:rPr>
                <w:rFonts w:ascii="Arial" w:hAnsi="Arial" w:cs="Arial"/>
                <w:sz w:val="24"/>
                <w:szCs w:val="24"/>
              </w:rPr>
              <w:lastRenderedPageBreak/>
              <w:t>Nominated PIFU administrators /Coordinators</w:t>
            </w:r>
          </w:p>
        </w:tc>
        <w:tc>
          <w:tcPr>
            <w:tcW w:w="7401" w:type="dxa"/>
          </w:tcPr>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 xml:space="preserve">Ensure that all PIFU patients are made appointments or discharged from the request list.  </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Order replacement Guide Cards and Patient Information leaflets.</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Remotely monitor patients on the PIFU pathway, close down referrals and discharge patients where appropriate (including when a clinician decides to discharge a patient following a DNA) with a letter to the patient and the GP.</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Escalate any lack of capacity to the relevant operation managers to ensure capacity can be found.</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Monitor patients with management plan reviews and arrange telephone review appointments as required.</w:t>
            </w:r>
          </w:p>
        </w:tc>
      </w:tr>
      <w:tr w:rsidR="009B3014" w:rsidRPr="00DF166A" w:rsidTr="00850B3F">
        <w:tc>
          <w:tcPr>
            <w:tcW w:w="2522" w:type="dxa"/>
          </w:tcPr>
          <w:p w:rsidR="009B3014" w:rsidRPr="00DF166A" w:rsidRDefault="009B3014" w:rsidP="009B3014">
            <w:pPr>
              <w:rPr>
                <w:rFonts w:cs="Arial"/>
                <w:b/>
                <w:szCs w:val="24"/>
              </w:rPr>
            </w:pPr>
            <w:r w:rsidRPr="009B3014">
              <w:rPr>
                <w:rFonts w:ascii="Arial" w:hAnsi="Arial" w:cs="Arial"/>
                <w:sz w:val="24"/>
                <w:szCs w:val="24"/>
              </w:rPr>
              <w:t>Outpatient booking centre</w:t>
            </w:r>
          </w:p>
        </w:tc>
        <w:tc>
          <w:tcPr>
            <w:tcW w:w="7401" w:type="dxa"/>
          </w:tcPr>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Check that the PIFU pathway is recorded as open and within the agreed time period when a patient makes contact to request an appointment to allow booking to commence.</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 xml:space="preserve">Identify if a follow up appointment is available with the original/designated/agreed clinician, where possible. </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Send a confirmation letter after booking an appointment.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Book a follow up appointment within the agreed maximum time of contact. If this is not possible, obtain the patient’s contact details and advise that the patient will be called back later the same/following day to arrange an appointment. In such cases, communicate the patient request to the relevant service PIFU administrator to arrange an appointment.</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Escalate any lack of capacity to the relevant PIFU administrators to ensure capacity can be found.</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Contact the patient to book an appointment when capacity has been identified.</w:t>
            </w:r>
          </w:p>
          <w:p w:rsidR="009B3014" w:rsidRPr="009B3014" w:rsidRDefault="009B3014" w:rsidP="009B3014">
            <w:pPr>
              <w:pStyle w:val="ListParagraph"/>
              <w:numPr>
                <w:ilvl w:val="0"/>
                <w:numId w:val="20"/>
              </w:numPr>
              <w:spacing w:after="120"/>
              <w:contextualSpacing w:val="0"/>
              <w:rPr>
                <w:rFonts w:ascii="Arial" w:hAnsi="Arial" w:cs="Arial"/>
                <w:sz w:val="24"/>
                <w:szCs w:val="24"/>
              </w:rPr>
            </w:pPr>
            <w:r w:rsidRPr="009B3014">
              <w:rPr>
                <w:rFonts w:ascii="Arial" w:hAnsi="Arial" w:cs="Arial"/>
                <w:sz w:val="24"/>
                <w:szCs w:val="24"/>
              </w:rPr>
              <w:t>Inform patient that they require a new referral through the GP after confirming that their PIFU timescale is expired.</w:t>
            </w:r>
          </w:p>
        </w:tc>
      </w:tr>
      <w:tr w:rsidR="009B3014" w:rsidRPr="00DF166A" w:rsidTr="00850B3F">
        <w:tc>
          <w:tcPr>
            <w:tcW w:w="2522" w:type="dxa"/>
          </w:tcPr>
          <w:p w:rsidR="009B3014" w:rsidRPr="00DF166A" w:rsidRDefault="009B3014" w:rsidP="00422ABE">
            <w:pPr>
              <w:rPr>
                <w:rFonts w:cs="Arial"/>
                <w:b/>
                <w:szCs w:val="24"/>
              </w:rPr>
            </w:pPr>
            <w:r w:rsidRPr="009B3014">
              <w:rPr>
                <w:rFonts w:ascii="Arial" w:hAnsi="Arial" w:cs="Arial"/>
                <w:sz w:val="24"/>
                <w:szCs w:val="24"/>
              </w:rPr>
              <w:t>Service Team</w:t>
            </w:r>
          </w:p>
        </w:tc>
        <w:tc>
          <w:tcPr>
            <w:tcW w:w="7401" w:type="dxa"/>
          </w:tcPr>
          <w:p w:rsidR="009B3014" w:rsidRPr="009B3014" w:rsidRDefault="009B3014" w:rsidP="009B3014">
            <w:pPr>
              <w:pStyle w:val="ListParagraph"/>
              <w:numPr>
                <w:ilvl w:val="0"/>
                <w:numId w:val="22"/>
              </w:numPr>
              <w:spacing w:after="120"/>
              <w:contextualSpacing w:val="0"/>
              <w:rPr>
                <w:rFonts w:ascii="Arial" w:hAnsi="Arial" w:cs="Arial"/>
                <w:sz w:val="24"/>
                <w:szCs w:val="24"/>
              </w:rPr>
            </w:pPr>
            <w:r w:rsidRPr="009B3014">
              <w:rPr>
                <w:rFonts w:ascii="Arial" w:hAnsi="Arial" w:cs="Arial"/>
                <w:sz w:val="24"/>
                <w:szCs w:val="24"/>
              </w:rPr>
              <w:t>Monitor the impact of PIFU on service appointments and waiting lists</w:t>
            </w:r>
          </w:p>
          <w:p w:rsidR="009B3014" w:rsidRPr="009B3014" w:rsidRDefault="009B3014" w:rsidP="009B3014">
            <w:pPr>
              <w:pStyle w:val="ListParagraph"/>
              <w:numPr>
                <w:ilvl w:val="0"/>
                <w:numId w:val="22"/>
              </w:numPr>
              <w:spacing w:after="120"/>
              <w:contextualSpacing w:val="0"/>
              <w:rPr>
                <w:rFonts w:ascii="Arial" w:hAnsi="Arial" w:cs="Arial"/>
                <w:sz w:val="24"/>
                <w:szCs w:val="24"/>
              </w:rPr>
            </w:pPr>
            <w:r w:rsidRPr="009B3014">
              <w:rPr>
                <w:rFonts w:ascii="Arial" w:hAnsi="Arial" w:cs="Arial"/>
                <w:sz w:val="24"/>
                <w:szCs w:val="24"/>
              </w:rPr>
              <w:t xml:space="preserve">Monitor the list of PIFU patients flagged for ‘Review before discharge’ to </w:t>
            </w:r>
            <w:proofErr w:type="gramStart"/>
            <w:r w:rsidRPr="009B3014">
              <w:rPr>
                <w:rFonts w:ascii="Arial" w:hAnsi="Arial" w:cs="Arial"/>
                <w:sz w:val="24"/>
                <w:szCs w:val="24"/>
              </w:rPr>
              <w:t>Booking</w:t>
            </w:r>
            <w:proofErr w:type="gramEnd"/>
            <w:r w:rsidRPr="009B3014">
              <w:rPr>
                <w:rFonts w:ascii="Arial" w:hAnsi="Arial" w:cs="Arial"/>
                <w:sz w:val="24"/>
                <w:szCs w:val="24"/>
              </w:rPr>
              <w:t xml:space="preserve"> team to arrange telephone appointments.</w:t>
            </w:r>
          </w:p>
          <w:p w:rsidR="009B3014" w:rsidRPr="009B3014" w:rsidRDefault="009B3014" w:rsidP="009B3014">
            <w:pPr>
              <w:pStyle w:val="ListParagraph"/>
              <w:numPr>
                <w:ilvl w:val="0"/>
                <w:numId w:val="22"/>
              </w:numPr>
              <w:spacing w:after="120"/>
              <w:contextualSpacing w:val="0"/>
              <w:rPr>
                <w:rFonts w:ascii="Arial" w:hAnsi="Arial" w:cs="Arial"/>
                <w:sz w:val="24"/>
                <w:szCs w:val="24"/>
              </w:rPr>
            </w:pPr>
            <w:r w:rsidRPr="009B3014">
              <w:rPr>
                <w:rFonts w:ascii="Arial" w:hAnsi="Arial" w:cs="Arial"/>
                <w:sz w:val="24"/>
                <w:szCs w:val="24"/>
              </w:rPr>
              <w:t>Monitor the list of PIFU patients for those with ‘management plans review’ and send to the PIFU administrators</w:t>
            </w:r>
          </w:p>
          <w:p w:rsidR="009B3014" w:rsidRPr="009B3014" w:rsidRDefault="009B3014" w:rsidP="009B3014">
            <w:pPr>
              <w:pStyle w:val="ListParagraph"/>
              <w:numPr>
                <w:ilvl w:val="0"/>
                <w:numId w:val="22"/>
              </w:numPr>
              <w:spacing w:after="120"/>
              <w:contextualSpacing w:val="0"/>
              <w:rPr>
                <w:rFonts w:ascii="Arial" w:hAnsi="Arial" w:cs="Arial"/>
                <w:sz w:val="24"/>
                <w:szCs w:val="24"/>
              </w:rPr>
            </w:pPr>
            <w:r w:rsidRPr="009B3014">
              <w:rPr>
                <w:rFonts w:ascii="Arial" w:hAnsi="Arial" w:cs="Arial"/>
                <w:sz w:val="24"/>
                <w:szCs w:val="24"/>
              </w:rPr>
              <w:t>Audit the list of patients who make contact after their PIFU has expired.</w:t>
            </w:r>
          </w:p>
        </w:tc>
      </w:tr>
      <w:tr w:rsidR="009B3014" w:rsidRPr="00DF166A" w:rsidTr="00850B3F">
        <w:tc>
          <w:tcPr>
            <w:tcW w:w="2522" w:type="dxa"/>
          </w:tcPr>
          <w:p w:rsidR="009B3014" w:rsidRPr="00DF166A" w:rsidRDefault="009B3014" w:rsidP="00422ABE">
            <w:pPr>
              <w:rPr>
                <w:rFonts w:cs="Arial"/>
                <w:b/>
                <w:noProof/>
                <w:szCs w:val="24"/>
              </w:rPr>
            </w:pPr>
            <w:r w:rsidRPr="009B3014">
              <w:rPr>
                <w:rFonts w:ascii="Arial" w:hAnsi="Arial" w:cs="Arial"/>
                <w:sz w:val="24"/>
                <w:szCs w:val="24"/>
              </w:rPr>
              <w:t>Information Management</w:t>
            </w:r>
            <w:r>
              <w:rPr>
                <w:rFonts w:cs="Arial"/>
                <w:b/>
                <w:noProof/>
                <w:szCs w:val="24"/>
              </w:rPr>
              <w:t xml:space="preserve"> </w:t>
            </w:r>
            <w:r w:rsidRPr="009B3014">
              <w:rPr>
                <w:rFonts w:ascii="Arial" w:hAnsi="Arial" w:cs="Arial"/>
                <w:sz w:val="24"/>
                <w:szCs w:val="24"/>
              </w:rPr>
              <w:t>Team</w:t>
            </w:r>
          </w:p>
        </w:tc>
        <w:tc>
          <w:tcPr>
            <w:tcW w:w="7401" w:type="dxa"/>
          </w:tcPr>
          <w:p w:rsidR="009B3014" w:rsidRPr="009B3014" w:rsidRDefault="009B3014" w:rsidP="009B3014">
            <w:pPr>
              <w:pStyle w:val="ListParagraph"/>
              <w:numPr>
                <w:ilvl w:val="0"/>
                <w:numId w:val="23"/>
              </w:numPr>
              <w:spacing w:after="120"/>
              <w:contextualSpacing w:val="0"/>
              <w:rPr>
                <w:rFonts w:ascii="Arial" w:hAnsi="Arial" w:cs="Arial"/>
                <w:sz w:val="24"/>
                <w:szCs w:val="24"/>
              </w:rPr>
            </w:pPr>
            <w:r w:rsidRPr="009B3014">
              <w:rPr>
                <w:rFonts w:ascii="Arial" w:hAnsi="Arial" w:cs="Arial"/>
                <w:sz w:val="24"/>
                <w:szCs w:val="24"/>
              </w:rPr>
              <w:t>Provide live data regarding:</w:t>
            </w:r>
          </w:p>
          <w:p w:rsidR="009B3014" w:rsidRPr="009B3014" w:rsidRDefault="009B3014" w:rsidP="009B3014">
            <w:pPr>
              <w:pStyle w:val="ListParagraph"/>
              <w:numPr>
                <w:ilvl w:val="1"/>
                <w:numId w:val="23"/>
              </w:numPr>
              <w:spacing w:after="120"/>
              <w:contextualSpacing w:val="0"/>
              <w:rPr>
                <w:rFonts w:ascii="Arial" w:hAnsi="Arial" w:cs="Arial"/>
                <w:sz w:val="24"/>
                <w:szCs w:val="24"/>
              </w:rPr>
            </w:pPr>
            <w:r w:rsidRPr="009B3014">
              <w:rPr>
                <w:rFonts w:ascii="Arial" w:hAnsi="Arial" w:cs="Arial"/>
                <w:sz w:val="24"/>
                <w:szCs w:val="24"/>
              </w:rPr>
              <w:t>PIFU offered</w:t>
            </w:r>
          </w:p>
          <w:p w:rsidR="009B3014" w:rsidRPr="009B3014" w:rsidRDefault="009B3014" w:rsidP="009B3014">
            <w:pPr>
              <w:pStyle w:val="ListParagraph"/>
              <w:numPr>
                <w:ilvl w:val="1"/>
                <w:numId w:val="23"/>
              </w:numPr>
              <w:spacing w:after="120"/>
              <w:contextualSpacing w:val="0"/>
              <w:rPr>
                <w:rFonts w:ascii="Arial" w:hAnsi="Arial" w:cs="Arial"/>
                <w:sz w:val="24"/>
                <w:szCs w:val="24"/>
              </w:rPr>
            </w:pPr>
            <w:r w:rsidRPr="009B3014">
              <w:rPr>
                <w:rFonts w:ascii="Arial" w:hAnsi="Arial" w:cs="Arial"/>
                <w:sz w:val="24"/>
                <w:szCs w:val="24"/>
              </w:rPr>
              <w:t>PIFU take up</w:t>
            </w:r>
          </w:p>
          <w:p w:rsidR="009B3014" w:rsidRPr="009B3014" w:rsidRDefault="009B3014" w:rsidP="009B3014">
            <w:pPr>
              <w:pStyle w:val="ListParagraph"/>
              <w:numPr>
                <w:ilvl w:val="0"/>
                <w:numId w:val="23"/>
              </w:numPr>
              <w:spacing w:after="120"/>
              <w:contextualSpacing w:val="0"/>
              <w:rPr>
                <w:rFonts w:ascii="Arial" w:hAnsi="Arial" w:cs="Arial"/>
                <w:sz w:val="24"/>
                <w:szCs w:val="24"/>
              </w:rPr>
            </w:pPr>
            <w:r w:rsidRPr="009B3014">
              <w:rPr>
                <w:rFonts w:ascii="Arial" w:hAnsi="Arial" w:cs="Arial"/>
                <w:sz w:val="24"/>
                <w:szCs w:val="24"/>
              </w:rPr>
              <w:t>Support for developing data capture processes</w:t>
            </w:r>
          </w:p>
          <w:p w:rsidR="009B3014" w:rsidRPr="009B3014" w:rsidRDefault="009B3014" w:rsidP="009B3014">
            <w:pPr>
              <w:pStyle w:val="ListParagraph"/>
              <w:numPr>
                <w:ilvl w:val="0"/>
                <w:numId w:val="23"/>
              </w:numPr>
              <w:spacing w:after="120"/>
              <w:contextualSpacing w:val="0"/>
              <w:rPr>
                <w:rFonts w:ascii="Arial" w:hAnsi="Arial" w:cs="Arial"/>
                <w:sz w:val="24"/>
                <w:szCs w:val="24"/>
              </w:rPr>
            </w:pPr>
            <w:r w:rsidRPr="009B3014">
              <w:rPr>
                <w:rFonts w:ascii="Arial" w:hAnsi="Arial" w:cs="Arial"/>
                <w:sz w:val="24"/>
                <w:szCs w:val="24"/>
              </w:rPr>
              <w:t>Support with team engagement to ensure process is understood</w:t>
            </w:r>
          </w:p>
        </w:tc>
      </w:tr>
    </w:tbl>
    <w:p w:rsidR="009B3014" w:rsidRPr="00F97DD3" w:rsidRDefault="009B3014" w:rsidP="00F97DD3">
      <w:pPr>
        <w:rPr>
          <w:rFonts w:ascii="Arial" w:hAnsi="Arial" w:cs="Arial"/>
          <w:sz w:val="24"/>
          <w:szCs w:val="24"/>
        </w:rPr>
      </w:pPr>
    </w:p>
    <w:p w:rsidR="00F97DD3" w:rsidRPr="00F97DD3" w:rsidRDefault="00F97DD3" w:rsidP="00F97DD3">
      <w:pPr>
        <w:pStyle w:val="ListParagraph"/>
        <w:framePr w:hSpace="180" w:wrap="around" w:vAnchor="text" w:hAnchor="margin" w:xAlign="center" w:y="98"/>
        <w:ind w:left="360"/>
        <w:suppressOverlap/>
        <w:rPr>
          <w:rFonts w:ascii="Arial" w:hAnsi="Arial" w:cs="Arial"/>
          <w:b/>
          <w:noProof/>
          <w:sz w:val="24"/>
          <w:szCs w:val="24"/>
        </w:rPr>
      </w:pPr>
    </w:p>
    <w:p w:rsidR="00F97DD3" w:rsidRPr="00651798" w:rsidRDefault="00F97DD3" w:rsidP="00F97DD3">
      <w:pPr>
        <w:rPr>
          <w:rFonts w:ascii="Arial" w:hAnsi="Arial" w:cs="Arial"/>
          <w:b/>
          <w:bCs/>
          <w:color w:val="000000" w:themeColor="text1"/>
        </w:rPr>
      </w:pPr>
    </w:p>
    <w:p w:rsidR="00F97DD3" w:rsidRDefault="00F97DD3" w:rsidP="00F97DD3">
      <w:pPr>
        <w:rPr>
          <w:rFonts w:ascii="Arial" w:hAnsi="Arial" w:cs="Arial"/>
          <w:b/>
          <w:sz w:val="24"/>
          <w:szCs w:val="24"/>
        </w:rPr>
      </w:pPr>
      <w:r w:rsidRPr="00F97DD3">
        <w:rPr>
          <w:rFonts w:ascii="Arial" w:hAnsi="Arial" w:cs="Arial"/>
          <w:b/>
          <w:sz w:val="24"/>
          <w:szCs w:val="24"/>
        </w:rPr>
        <w:t>Management of Risk</w:t>
      </w: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3007"/>
        <w:gridCol w:w="2976"/>
        <w:gridCol w:w="4253"/>
      </w:tblGrid>
      <w:tr w:rsidR="00850B3F" w:rsidRPr="00DF040F" w:rsidTr="00850B3F">
        <w:trPr>
          <w:trHeight w:val="375"/>
        </w:trPr>
        <w:tc>
          <w:tcPr>
            <w:tcW w:w="3007" w:type="dxa"/>
            <w:shd w:val="clear" w:color="auto" w:fill="1F497D"/>
          </w:tcPr>
          <w:p w:rsidR="00850B3F" w:rsidRPr="00727232" w:rsidRDefault="00850B3F" w:rsidP="00D93FB7">
            <w:pPr>
              <w:pStyle w:val="NoSpacing"/>
              <w:rPr>
                <w:rFonts w:ascii="Calibri" w:hAnsi="Calibri" w:cs="Arial"/>
                <w:b/>
                <w:color w:val="FFFFFF"/>
                <w:sz w:val="22"/>
              </w:rPr>
            </w:pPr>
            <w:r w:rsidRPr="00727232">
              <w:rPr>
                <w:rFonts w:ascii="Calibri" w:hAnsi="Calibri" w:cs="Arial"/>
                <w:b/>
                <w:color w:val="FFFFFF"/>
                <w:sz w:val="22"/>
              </w:rPr>
              <w:t>Description</w:t>
            </w:r>
          </w:p>
        </w:tc>
        <w:tc>
          <w:tcPr>
            <w:tcW w:w="2976" w:type="dxa"/>
            <w:shd w:val="clear" w:color="auto" w:fill="1F497D"/>
          </w:tcPr>
          <w:p w:rsidR="00850B3F" w:rsidRPr="00727232" w:rsidRDefault="00850B3F" w:rsidP="00D93FB7">
            <w:pPr>
              <w:pStyle w:val="NoSpacing"/>
              <w:rPr>
                <w:rFonts w:ascii="Calibri" w:hAnsi="Calibri" w:cs="Arial"/>
                <w:b/>
                <w:color w:val="FFFFFF"/>
                <w:sz w:val="22"/>
              </w:rPr>
            </w:pPr>
            <w:r w:rsidRPr="00727232">
              <w:rPr>
                <w:rFonts w:ascii="Calibri" w:hAnsi="Calibri" w:cs="Arial"/>
                <w:b/>
                <w:color w:val="FFFFFF"/>
                <w:sz w:val="22"/>
              </w:rPr>
              <w:t>Impact</w:t>
            </w:r>
          </w:p>
        </w:tc>
        <w:tc>
          <w:tcPr>
            <w:tcW w:w="4253" w:type="dxa"/>
            <w:shd w:val="clear" w:color="auto" w:fill="1F497D"/>
          </w:tcPr>
          <w:p w:rsidR="00850B3F" w:rsidRPr="00727232" w:rsidRDefault="00850B3F" w:rsidP="00D93FB7">
            <w:pPr>
              <w:pStyle w:val="NoSpacing"/>
              <w:rPr>
                <w:rFonts w:ascii="Calibri" w:hAnsi="Calibri" w:cs="Arial"/>
                <w:b/>
                <w:color w:val="FFFFFF"/>
                <w:sz w:val="22"/>
              </w:rPr>
            </w:pPr>
            <w:r w:rsidRPr="00727232">
              <w:rPr>
                <w:rFonts w:ascii="Calibri" w:hAnsi="Calibri" w:cs="Arial"/>
                <w:b/>
                <w:color w:val="FFFFFF"/>
                <w:sz w:val="22"/>
              </w:rPr>
              <w:t>Mitigation</w:t>
            </w:r>
          </w:p>
        </w:tc>
      </w:tr>
      <w:tr w:rsidR="00850B3F" w:rsidRPr="00DF040F" w:rsidTr="00850B3F">
        <w:trPr>
          <w:trHeight w:val="395"/>
        </w:trPr>
        <w:tc>
          <w:tcPr>
            <w:tcW w:w="3007"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Patients do not contact the service when they have a flare-up of symptoms</w:t>
            </w:r>
          </w:p>
        </w:tc>
        <w:tc>
          <w:tcPr>
            <w:tcW w:w="2976"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Patients discharged back to the GP and require a new referral to the service</w:t>
            </w:r>
          </w:p>
        </w:tc>
        <w:tc>
          <w:tcPr>
            <w:tcW w:w="4253"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Give patients</w:t>
            </w:r>
            <w:r>
              <w:rPr>
                <w:rFonts w:cs="Arial"/>
                <w:sz w:val="20"/>
                <w:szCs w:val="20"/>
              </w:rPr>
              <w:t xml:space="preserve"> clear inclusion/exclusion criteria </w:t>
            </w:r>
            <w:proofErr w:type="gramStart"/>
            <w:r>
              <w:rPr>
                <w:rFonts w:cs="Arial"/>
                <w:sz w:val="20"/>
                <w:szCs w:val="20"/>
              </w:rPr>
              <w:t xml:space="preserve">and </w:t>
            </w:r>
            <w:r w:rsidRPr="00957C00">
              <w:rPr>
                <w:rFonts w:cs="Arial"/>
                <w:sz w:val="20"/>
                <w:szCs w:val="20"/>
              </w:rPr>
              <w:t xml:space="preserve"> information</w:t>
            </w:r>
            <w:proofErr w:type="gramEnd"/>
            <w:r w:rsidRPr="00957C00">
              <w:rPr>
                <w:rFonts w:cs="Arial"/>
                <w:sz w:val="20"/>
                <w:szCs w:val="20"/>
              </w:rPr>
              <w:t xml:space="preserve"> about when they should contact the service for an appointment </w:t>
            </w:r>
            <w:r>
              <w:rPr>
                <w:rFonts w:cs="Arial"/>
                <w:sz w:val="20"/>
                <w:szCs w:val="20"/>
              </w:rPr>
              <w:t>via patient leaflets/PIFU card and during consultations.</w:t>
            </w:r>
          </w:p>
          <w:p w:rsidR="00850B3F" w:rsidRPr="00957C00" w:rsidRDefault="00850B3F" w:rsidP="00D93FB7">
            <w:pPr>
              <w:pStyle w:val="NoSpacing"/>
              <w:rPr>
                <w:rFonts w:cs="Arial"/>
                <w:sz w:val="20"/>
                <w:szCs w:val="20"/>
              </w:rPr>
            </w:pPr>
          </w:p>
        </w:tc>
      </w:tr>
      <w:tr w:rsidR="00850B3F" w:rsidRPr="00DF040F" w:rsidTr="00850B3F">
        <w:trPr>
          <w:trHeight w:val="461"/>
        </w:trPr>
        <w:tc>
          <w:tcPr>
            <w:tcW w:w="3007" w:type="dxa"/>
            <w:vMerge/>
            <w:shd w:val="clear" w:color="auto" w:fill="auto"/>
          </w:tcPr>
          <w:p w:rsidR="00850B3F" w:rsidRPr="00957C00" w:rsidRDefault="00850B3F" w:rsidP="00D93FB7">
            <w:pPr>
              <w:pStyle w:val="NoSpacing"/>
              <w:rPr>
                <w:rFonts w:cs="Arial"/>
                <w:sz w:val="20"/>
                <w:szCs w:val="20"/>
              </w:rPr>
            </w:pPr>
          </w:p>
        </w:tc>
        <w:tc>
          <w:tcPr>
            <w:tcW w:w="2976" w:type="dxa"/>
            <w:vMerge/>
            <w:shd w:val="clear" w:color="auto" w:fill="auto"/>
          </w:tcPr>
          <w:p w:rsidR="00850B3F" w:rsidRPr="00957C00" w:rsidRDefault="00850B3F" w:rsidP="00D93FB7">
            <w:pPr>
              <w:rPr>
                <w:rFonts w:ascii="Arial" w:hAnsi="Arial" w:cs="Arial"/>
                <w:color w:val="000000"/>
                <w:sz w:val="20"/>
                <w:szCs w:val="20"/>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39"/>
        </w:trPr>
        <w:tc>
          <w:tcPr>
            <w:tcW w:w="3007" w:type="dxa"/>
            <w:vMerge/>
            <w:shd w:val="clear" w:color="auto" w:fill="auto"/>
          </w:tcPr>
          <w:p w:rsidR="00850B3F" w:rsidRPr="00957C00" w:rsidRDefault="00850B3F" w:rsidP="00D93FB7">
            <w:pPr>
              <w:pStyle w:val="NoSpacing"/>
              <w:rPr>
                <w:rFonts w:cs="Arial"/>
                <w:sz w:val="20"/>
                <w:szCs w:val="20"/>
              </w:rPr>
            </w:pPr>
          </w:p>
        </w:tc>
        <w:tc>
          <w:tcPr>
            <w:tcW w:w="2976" w:type="dxa"/>
            <w:vMerge/>
            <w:shd w:val="clear" w:color="auto" w:fill="auto"/>
          </w:tcPr>
          <w:p w:rsidR="00850B3F" w:rsidRPr="00957C00" w:rsidRDefault="00850B3F" w:rsidP="00D93FB7">
            <w:pPr>
              <w:rPr>
                <w:rFonts w:ascii="Arial" w:hAnsi="Arial" w:cs="Arial"/>
                <w:color w:val="000000"/>
                <w:sz w:val="20"/>
                <w:szCs w:val="20"/>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52"/>
        </w:trPr>
        <w:tc>
          <w:tcPr>
            <w:tcW w:w="3007"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Patients do not get through/ have difficulty getting through to the PIFU administrators to book an appointment</w:t>
            </w:r>
          </w:p>
        </w:tc>
        <w:tc>
          <w:tcPr>
            <w:tcW w:w="2976"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Patients will get frustrated and complain</w:t>
            </w:r>
          </w:p>
        </w:tc>
        <w:tc>
          <w:tcPr>
            <w:tcW w:w="4253" w:type="dxa"/>
            <w:vMerge w:val="restart"/>
            <w:shd w:val="clear" w:color="auto" w:fill="auto"/>
          </w:tcPr>
          <w:p w:rsidR="00850B3F" w:rsidRDefault="00850B3F" w:rsidP="00D93FB7">
            <w:pPr>
              <w:pStyle w:val="NoSpacing"/>
              <w:rPr>
                <w:rFonts w:cs="Arial"/>
                <w:sz w:val="20"/>
                <w:szCs w:val="20"/>
              </w:rPr>
            </w:pPr>
            <w:r w:rsidRPr="00957C00">
              <w:rPr>
                <w:rFonts w:cs="Arial"/>
                <w:sz w:val="20"/>
                <w:szCs w:val="20"/>
              </w:rPr>
              <w:t>Service has a clear plan in place to ensure that patients can contact them for an appointment as well as a process for managing the requests</w:t>
            </w:r>
            <w:r>
              <w:rPr>
                <w:rFonts w:cs="Arial"/>
                <w:sz w:val="20"/>
                <w:szCs w:val="20"/>
              </w:rPr>
              <w:t>.</w:t>
            </w:r>
          </w:p>
          <w:p w:rsidR="00850B3F" w:rsidRPr="00957C00" w:rsidRDefault="00850B3F" w:rsidP="00D93FB7">
            <w:pPr>
              <w:pStyle w:val="NoSpacing"/>
              <w:rPr>
                <w:rFonts w:cs="Arial"/>
                <w:sz w:val="20"/>
                <w:szCs w:val="20"/>
              </w:rPr>
            </w:pPr>
            <w:r>
              <w:rPr>
                <w:rFonts w:cs="Arial"/>
                <w:sz w:val="20"/>
                <w:szCs w:val="20"/>
              </w:rPr>
              <w:t xml:space="preserve">Patients are made aware of best method to contact the team when required, </w:t>
            </w:r>
            <w:proofErr w:type="spellStart"/>
            <w:r>
              <w:rPr>
                <w:rFonts w:cs="Arial"/>
                <w:sz w:val="20"/>
                <w:szCs w:val="20"/>
              </w:rPr>
              <w:t>ie</w:t>
            </w:r>
            <w:proofErr w:type="spellEnd"/>
            <w:r>
              <w:rPr>
                <w:rFonts w:cs="Arial"/>
                <w:sz w:val="20"/>
                <w:szCs w:val="20"/>
              </w:rPr>
              <w:t xml:space="preserve"> email/phone.</w:t>
            </w:r>
          </w:p>
        </w:tc>
      </w:tr>
      <w:tr w:rsidR="00850B3F" w:rsidRPr="00DF040F" w:rsidTr="00850B3F">
        <w:trPr>
          <w:trHeight w:val="446"/>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49"/>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48"/>
        </w:trPr>
        <w:tc>
          <w:tcPr>
            <w:tcW w:w="3007" w:type="dxa"/>
            <w:vMerge w:val="restart"/>
            <w:shd w:val="clear" w:color="auto" w:fill="auto"/>
          </w:tcPr>
          <w:p w:rsidR="00850B3F" w:rsidRPr="00957C00" w:rsidRDefault="00850B3F" w:rsidP="00D93FB7">
            <w:pPr>
              <w:rPr>
                <w:rFonts w:ascii="Arial" w:hAnsi="Arial" w:cs="Arial"/>
                <w:sz w:val="20"/>
              </w:rPr>
            </w:pPr>
            <w:r w:rsidRPr="00957C00">
              <w:rPr>
                <w:rFonts w:ascii="Arial" w:hAnsi="Arial" w:cs="Arial"/>
                <w:sz w:val="20"/>
              </w:rPr>
              <w:t>Lack of outpatient capacity results in patients having to wait much longer than they should</w:t>
            </w:r>
          </w:p>
        </w:tc>
        <w:tc>
          <w:tcPr>
            <w:tcW w:w="2976" w:type="dxa"/>
            <w:vMerge w:val="restart"/>
            <w:shd w:val="clear" w:color="auto" w:fill="auto"/>
          </w:tcPr>
          <w:p w:rsidR="00850B3F" w:rsidRPr="00957C00" w:rsidRDefault="00850B3F" w:rsidP="00D93FB7">
            <w:pPr>
              <w:rPr>
                <w:rFonts w:ascii="Arial" w:hAnsi="Arial" w:cs="Arial"/>
                <w:sz w:val="20"/>
              </w:rPr>
            </w:pPr>
            <w:r w:rsidRPr="00957C00">
              <w:rPr>
                <w:rFonts w:ascii="Arial" w:hAnsi="Arial" w:cs="Arial"/>
                <w:sz w:val="20"/>
              </w:rPr>
              <w:t>Frustration for patients and clinicians, leading to complaints</w:t>
            </w:r>
          </w:p>
        </w:tc>
        <w:tc>
          <w:tcPr>
            <w:tcW w:w="4253"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Services to provide a clear plan for how they will manage the demand, particularly during initial roll out</w:t>
            </w:r>
          </w:p>
        </w:tc>
      </w:tr>
      <w:tr w:rsidR="00850B3F" w:rsidRPr="00DF040F" w:rsidTr="00850B3F">
        <w:trPr>
          <w:trHeight w:val="456"/>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45"/>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620"/>
        </w:trPr>
        <w:tc>
          <w:tcPr>
            <w:tcW w:w="3007"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Service does not plan properly how it will manage PIFU patients to ensure effective clinical prioritisation over new patients/those with appointments already</w:t>
            </w:r>
          </w:p>
        </w:tc>
        <w:tc>
          <w:tcPr>
            <w:tcW w:w="2976" w:type="dxa"/>
            <w:vMerge w:val="restart"/>
            <w:shd w:val="clear" w:color="auto" w:fill="auto"/>
          </w:tcPr>
          <w:p w:rsidR="00850B3F" w:rsidRPr="00957C00" w:rsidRDefault="00850B3F" w:rsidP="00D93FB7">
            <w:pPr>
              <w:rPr>
                <w:rFonts w:ascii="Arial" w:hAnsi="Arial" w:cs="Arial"/>
                <w:sz w:val="20"/>
                <w:szCs w:val="20"/>
              </w:rPr>
            </w:pPr>
            <w:r w:rsidRPr="00957C00">
              <w:rPr>
                <w:rFonts w:ascii="Arial" w:hAnsi="Arial" w:cs="Arial"/>
                <w:sz w:val="20"/>
                <w:szCs w:val="20"/>
              </w:rPr>
              <w:t>Patients wait longer than they should to see a clinician because they are not prioritised appropriately</w:t>
            </w:r>
          </w:p>
        </w:tc>
        <w:tc>
          <w:tcPr>
            <w:tcW w:w="4253" w:type="dxa"/>
            <w:vMerge w:val="restart"/>
            <w:shd w:val="clear" w:color="auto" w:fill="auto"/>
          </w:tcPr>
          <w:p w:rsidR="00850B3F" w:rsidRDefault="00850B3F" w:rsidP="00D93FB7">
            <w:pPr>
              <w:pStyle w:val="NoSpacing"/>
              <w:rPr>
                <w:rFonts w:cs="Arial"/>
                <w:sz w:val="20"/>
                <w:szCs w:val="20"/>
              </w:rPr>
            </w:pPr>
            <w:r>
              <w:rPr>
                <w:rFonts w:cs="Arial"/>
                <w:sz w:val="20"/>
                <w:szCs w:val="20"/>
              </w:rPr>
              <w:t>Services to provide completed SOP and clinical protocol which is signed off by the Divisional Board prior to go live.</w:t>
            </w:r>
          </w:p>
          <w:p w:rsidR="00850B3F" w:rsidRPr="00957C00" w:rsidRDefault="00850B3F" w:rsidP="00D93FB7">
            <w:pPr>
              <w:pStyle w:val="NoSpacing"/>
              <w:rPr>
                <w:rFonts w:cs="Arial"/>
                <w:sz w:val="20"/>
                <w:szCs w:val="20"/>
              </w:rPr>
            </w:pPr>
            <w:r>
              <w:rPr>
                <w:rFonts w:cs="Arial"/>
                <w:sz w:val="20"/>
                <w:szCs w:val="20"/>
              </w:rPr>
              <w:t>Senior Managers to take responsibility for fully engaging with teams and ensuring that all are aware of their role and responsibilities.</w:t>
            </w:r>
          </w:p>
        </w:tc>
      </w:tr>
      <w:tr w:rsidR="00850B3F" w:rsidRPr="00DF040F" w:rsidTr="00850B3F">
        <w:trPr>
          <w:trHeight w:val="620"/>
        </w:trPr>
        <w:tc>
          <w:tcPr>
            <w:tcW w:w="3007" w:type="dxa"/>
            <w:vMerge/>
            <w:shd w:val="clear" w:color="auto" w:fill="auto"/>
          </w:tcPr>
          <w:p w:rsidR="00850B3F" w:rsidRPr="00957C00" w:rsidRDefault="00850B3F" w:rsidP="00D93FB7">
            <w:pPr>
              <w:pStyle w:val="NoSpacing"/>
              <w:rPr>
                <w:rFonts w:cs="Arial"/>
                <w:sz w:val="20"/>
                <w:szCs w:val="20"/>
              </w:rPr>
            </w:pPr>
          </w:p>
        </w:tc>
        <w:tc>
          <w:tcPr>
            <w:tcW w:w="2976" w:type="dxa"/>
            <w:vMerge/>
            <w:shd w:val="clear" w:color="auto" w:fill="auto"/>
          </w:tcPr>
          <w:p w:rsidR="00850B3F" w:rsidRPr="00957C00" w:rsidRDefault="00850B3F" w:rsidP="00D93FB7">
            <w:pPr>
              <w:rPr>
                <w:rFonts w:ascii="Arial" w:hAnsi="Arial" w:cs="Arial"/>
                <w:color w:val="000000"/>
                <w:sz w:val="20"/>
                <w:szCs w:val="20"/>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409"/>
        </w:trPr>
        <w:tc>
          <w:tcPr>
            <w:tcW w:w="3007" w:type="dxa"/>
            <w:vMerge/>
            <w:shd w:val="clear" w:color="auto" w:fill="auto"/>
          </w:tcPr>
          <w:p w:rsidR="00850B3F" w:rsidRPr="00957C00" w:rsidRDefault="00850B3F" w:rsidP="00D93FB7">
            <w:pPr>
              <w:pStyle w:val="NoSpacing"/>
              <w:rPr>
                <w:rFonts w:cs="Arial"/>
                <w:sz w:val="20"/>
                <w:szCs w:val="20"/>
              </w:rPr>
            </w:pPr>
          </w:p>
        </w:tc>
        <w:tc>
          <w:tcPr>
            <w:tcW w:w="2976" w:type="dxa"/>
            <w:vMerge/>
            <w:shd w:val="clear" w:color="auto" w:fill="auto"/>
          </w:tcPr>
          <w:p w:rsidR="00850B3F" w:rsidRPr="00957C00" w:rsidRDefault="00850B3F" w:rsidP="00D93FB7">
            <w:pPr>
              <w:rPr>
                <w:rFonts w:ascii="Arial" w:hAnsi="Arial" w:cs="Arial"/>
                <w:color w:val="000000"/>
                <w:sz w:val="20"/>
                <w:szCs w:val="20"/>
              </w:rPr>
            </w:pPr>
          </w:p>
        </w:tc>
        <w:tc>
          <w:tcPr>
            <w:tcW w:w="4253" w:type="dxa"/>
            <w:vMerge/>
            <w:shd w:val="clear" w:color="auto" w:fill="auto"/>
          </w:tcPr>
          <w:p w:rsidR="00850B3F" w:rsidRPr="00957C00" w:rsidRDefault="00850B3F" w:rsidP="00D93FB7">
            <w:pPr>
              <w:pStyle w:val="NoSpacing"/>
              <w:rPr>
                <w:rFonts w:cs="Arial"/>
                <w:sz w:val="20"/>
                <w:szCs w:val="20"/>
              </w:rPr>
            </w:pPr>
          </w:p>
        </w:tc>
      </w:tr>
      <w:tr w:rsidR="00850B3F" w:rsidRPr="00DF040F" w:rsidTr="00850B3F">
        <w:trPr>
          <w:trHeight w:val="501"/>
        </w:trPr>
        <w:tc>
          <w:tcPr>
            <w:tcW w:w="3007" w:type="dxa"/>
            <w:vMerge w:val="restart"/>
            <w:shd w:val="clear" w:color="auto" w:fill="auto"/>
          </w:tcPr>
          <w:p w:rsidR="00850B3F" w:rsidRPr="00957C00" w:rsidRDefault="00850B3F" w:rsidP="00D93FB7">
            <w:pPr>
              <w:rPr>
                <w:rFonts w:ascii="Arial" w:hAnsi="Arial" w:cs="Arial"/>
                <w:sz w:val="20"/>
                <w:szCs w:val="20"/>
              </w:rPr>
            </w:pPr>
            <w:r w:rsidRPr="00957C00">
              <w:rPr>
                <w:rFonts w:ascii="Arial" w:hAnsi="Arial" w:cs="Arial"/>
                <w:sz w:val="20"/>
                <w:szCs w:val="20"/>
              </w:rPr>
              <w:t>Service not properly prepared (</w:t>
            </w:r>
            <w:proofErr w:type="spellStart"/>
            <w:r w:rsidRPr="00957C00">
              <w:rPr>
                <w:rFonts w:ascii="Arial" w:hAnsi="Arial" w:cs="Arial"/>
                <w:sz w:val="20"/>
                <w:szCs w:val="20"/>
              </w:rPr>
              <w:t>ie</w:t>
            </w:r>
            <w:proofErr w:type="spellEnd"/>
            <w:r w:rsidRPr="00957C00">
              <w:rPr>
                <w:rFonts w:ascii="Arial" w:hAnsi="Arial" w:cs="Arial"/>
                <w:sz w:val="20"/>
                <w:szCs w:val="20"/>
              </w:rPr>
              <w:t xml:space="preserve"> systems not in place/no cover for sick leave)</w:t>
            </w:r>
          </w:p>
        </w:tc>
        <w:tc>
          <w:tcPr>
            <w:tcW w:w="2976" w:type="dxa"/>
            <w:vMerge w:val="restart"/>
            <w:shd w:val="clear" w:color="auto" w:fill="auto"/>
          </w:tcPr>
          <w:p w:rsidR="00850B3F" w:rsidRPr="00957C00" w:rsidRDefault="00850B3F" w:rsidP="00D93FB7">
            <w:pPr>
              <w:rPr>
                <w:rFonts w:ascii="Arial" w:hAnsi="Arial" w:cs="Arial"/>
                <w:sz w:val="20"/>
                <w:szCs w:val="20"/>
              </w:rPr>
            </w:pPr>
            <w:r w:rsidRPr="00957C00">
              <w:rPr>
                <w:rFonts w:ascii="Arial" w:hAnsi="Arial" w:cs="Arial"/>
                <w:sz w:val="20"/>
                <w:szCs w:val="20"/>
              </w:rPr>
              <w:t>PIFU process will fail and patients will get frustrated and complain</w:t>
            </w:r>
          </w:p>
        </w:tc>
        <w:tc>
          <w:tcPr>
            <w:tcW w:w="4253" w:type="dxa"/>
            <w:vMerge w:val="restart"/>
            <w:shd w:val="clear" w:color="auto" w:fill="auto"/>
          </w:tcPr>
          <w:p w:rsidR="00850B3F" w:rsidRDefault="00850B3F" w:rsidP="00D93FB7">
            <w:pPr>
              <w:rPr>
                <w:rFonts w:ascii="Arial" w:eastAsia="Calibri" w:hAnsi="Arial" w:cs="Arial"/>
                <w:sz w:val="20"/>
                <w:szCs w:val="20"/>
              </w:rPr>
            </w:pPr>
            <w:r w:rsidRPr="00F507DF">
              <w:rPr>
                <w:rFonts w:ascii="Arial" w:eastAsia="Calibri" w:hAnsi="Arial" w:cs="Arial"/>
                <w:sz w:val="20"/>
                <w:szCs w:val="20"/>
              </w:rPr>
              <w:t>Services to provide completed SOP and clinical protocol which is signed off by the Divisional Board prior to go live</w:t>
            </w:r>
            <w:r>
              <w:rPr>
                <w:rFonts w:ascii="Arial" w:eastAsia="Calibri" w:hAnsi="Arial" w:cs="Arial"/>
                <w:sz w:val="20"/>
                <w:szCs w:val="20"/>
              </w:rPr>
              <w:t>.</w:t>
            </w:r>
          </w:p>
          <w:p w:rsidR="00850B3F" w:rsidRPr="00957C00" w:rsidRDefault="00850B3F" w:rsidP="00D93FB7">
            <w:pPr>
              <w:rPr>
                <w:rFonts w:ascii="Arial" w:hAnsi="Arial" w:cs="Arial"/>
                <w:sz w:val="20"/>
                <w:szCs w:val="20"/>
              </w:rPr>
            </w:pPr>
            <w:r w:rsidRPr="00F507DF">
              <w:rPr>
                <w:rFonts w:ascii="Arial" w:eastAsia="Calibri" w:hAnsi="Arial" w:cs="Arial"/>
                <w:sz w:val="20"/>
                <w:szCs w:val="20"/>
              </w:rPr>
              <w:t>Senior Managers to take responsibility for fully engaging with teams and ensuring that all are aware of their role and responsibilities.</w:t>
            </w:r>
          </w:p>
        </w:tc>
      </w:tr>
      <w:tr w:rsidR="00850B3F" w:rsidRPr="00DF040F" w:rsidTr="00850B3F">
        <w:trPr>
          <w:trHeight w:val="526"/>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18"/>
                <w:szCs w:val="18"/>
              </w:rPr>
            </w:pPr>
          </w:p>
        </w:tc>
      </w:tr>
      <w:tr w:rsidR="00850B3F" w:rsidRPr="00DF040F" w:rsidTr="00850B3F">
        <w:trPr>
          <w:trHeight w:val="445"/>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18"/>
                <w:szCs w:val="18"/>
              </w:rPr>
            </w:pPr>
          </w:p>
        </w:tc>
      </w:tr>
      <w:tr w:rsidR="00850B3F" w:rsidRPr="00DF040F" w:rsidTr="00850B3F">
        <w:trPr>
          <w:trHeight w:val="609"/>
        </w:trPr>
        <w:tc>
          <w:tcPr>
            <w:tcW w:w="3007"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Patients will "abuse" the system and call for appointments for unrelated conditions within the same specialty</w:t>
            </w:r>
          </w:p>
        </w:tc>
        <w:tc>
          <w:tcPr>
            <w:tcW w:w="2976" w:type="dxa"/>
            <w:vMerge w:val="restart"/>
            <w:shd w:val="clear" w:color="auto" w:fill="auto"/>
          </w:tcPr>
          <w:p w:rsidR="00850B3F" w:rsidRPr="00957C00" w:rsidRDefault="00850B3F" w:rsidP="00D93FB7">
            <w:pPr>
              <w:rPr>
                <w:rFonts w:ascii="Arial" w:hAnsi="Arial" w:cs="Arial"/>
                <w:color w:val="000000"/>
                <w:sz w:val="20"/>
                <w:szCs w:val="20"/>
              </w:rPr>
            </w:pPr>
            <w:r w:rsidRPr="00957C00">
              <w:rPr>
                <w:rFonts w:ascii="Arial" w:hAnsi="Arial" w:cs="Arial"/>
                <w:color w:val="000000"/>
                <w:sz w:val="20"/>
                <w:szCs w:val="20"/>
              </w:rPr>
              <w:t>PIFU will be less effective in reducing the number of appointments</w:t>
            </w:r>
          </w:p>
        </w:tc>
        <w:tc>
          <w:tcPr>
            <w:tcW w:w="4253" w:type="dxa"/>
            <w:vMerge w:val="restart"/>
            <w:shd w:val="clear" w:color="auto" w:fill="auto"/>
          </w:tcPr>
          <w:p w:rsidR="00850B3F" w:rsidRPr="00957C00" w:rsidRDefault="00850B3F" w:rsidP="00D93FB7">
            <w:pPr>
              <w:pStyle w:val="NoSpacing"/>
              <w:rPr>
                <w:rFonts w:cs="Arial"/>
                <w:sz w:val="20"/>
                <w:szCs w:val="20"/>
              </w:rPr>
            </w:pPr>
            <w:r w:rsidRPr="00957C00">
              <w:rPr>
                <w:rFonts w:cs="Arial"/>
                <w:sz w:val="20"/>
                <w:szCs w:val="20"/>
              </w:rPr>
              <w:t>Ensure clinicians are advised to clarify with patients that putting them on the PIFU pathway is for their current condition only</w:t>
            </w:r>
          </w:p>
        </w:tc>
      </w:tr>
      <w:tr w:rsidR="00850B3F" w:rsidRPr="00DF040F" w:rsidTr="00850B3F">
        <w:trPr>
          <w:trHeight w:val="576"/>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18"/>
                <w:szCs w:val="18"/>
              </w:rPr>
            </w:pPr>
          </w:p>
        </w:tc>
      </w:tr>
      <w:tr w:rsidR="00850B3F" w:rsidRPr="00DF040F" w:rsidTr="00850B3F">
        <w:trPr>
          <w:trHeight w:val="570"/>
        </w:trPr>
        <w:tc>
          <w:tcPr>
            <w:tcW w:w="3007" w:type="dxa"/>
            <w:vMerge/>
            <w:shd w:val="clear" w:color="auto" w:fill="auto"/>
          </w:tcPr>
          <w:p w:rsidR="00850B3F" w:rsidRPr="00957C00" w:rsidRDefault="00850B3F" w:rsidP="00D93FB7">
            <w:pPr>
              <w:pStyle w:val="NoSpacing"/>
              <w:rPr>
                <w:rFonts w:cs="Arial"/>
                <w:sz w:val="18"/>
                <w:szCs w:val="18"/>
              </w:rPr>
            </w:pPr>
          </w:p>
        </w:tc>
        <w:tc>
          <w:tcPr>
            <w:tcW w:w="2976" w:type="dxa"/>
            <w:vMerge/>
            <w:shd w:val="clear" w:color="auto" w:fill="auto"/>
          </w:tcPr>
          <w:p w:rsidR="00850B3F" w:rsidRPr="00957C00" w:rsidRDefault="00850B3F" w:rsidP="00D93FB7">
            <w:pPr>
              <w:rPr>
                <w:rFonts w:ascii="Arial" w:hAnsi="Arial" w:cs="Arial"/>
                <w:color w:val="000000"/>
                <w:sz w:val="18"/>
                <w:szCs w:val="18"/>
              </w:rPr>
            </w:pPr>
          </w:p>
        </w:tc>
        <w:tc>
          <w:tcPr>
            <w:tcW w:w="4253" w:type="dxa"/>
            <w:vMerge/>
            <w:shd w:val="clear" w:color="auto" w:fill="auto"/>
          </w:tcPr>
          <w:p w:rsidR="00850B3F" w:rsidRPr="00957C00" w:rsidRDefault="00850B3F" w:rsidP="00D93FB7">
            <w:pPr>
              <w:pStyle w:val="NoSpacing"/>
              <w:rPr>
                <w:rFonts w:cs="Arial"/>
                <w:sz w:val="18"/>
                <w:szCs w:val="18"/>
              </w:rPr>
            </w:pPr>
          </w:p>
        </w:tc>
      </w:tr>
    </w:tbl>
    <w:p w:rsidR="00F97DD3" w:rsidRPr="00F97DD3" w:rsidRDefault="00F97DD3" w:rsidP="00F97DD3">
      <w:pPr>
        <w:rPr>
          <w:rFonts w:ascii="Arial" w:hAnsi="Arial" w:cs="Arial"/>
          <w:b/>
          <w:sz w:val="24"/>
          <w:szCs w:val="24"/>
        </w:rPr>
      </w:pPr>
    </w:p>
    <w:p w:rsidR="00A952CE" w:rsidRPr="00F97DD3" w:rsidRDefault="00A952CE" w:rsidP="00A952CE">
      <w:pPr>
        <w:pStyle w:val="ListParagraph"/>
        <w:rPr>
          <w:rFonts w:ascii="Arial" w:hAnsi="Arial" w:cs="Arial"/>
          <w:sz w:val="24"/>
          <w:szCs w:val="24"/>
        </w:rPr>
      </w:pPr>
    </w:p>
    <w:p w:rsidR="00992202" w:rsidRDefault="00992202" w:rsidP="0070502B"/>
    <w:sectPr w:rsidR="009922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35" w:rsidRDefault="00C94435" w:rsidP="00C94435">
      <w:pPr>
        <w:spacing w:after="0" w:line="240" w:lineRule="auto"/>
      </w:pPr>
      <w:r>
        <w:separator/>
      </w:r>
    </w:p>
  </w:endnote>
  <w:endnote w:type="continuationSeparator" w:id="0">
    <w:p w:rsidR="00C94435" w:rsidRDefault="00C94435" w:rsidP="00C9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35" w:rsidRDefault="00C94435" w:rsidP="00C94435">
      <w:pPr>
        <w:spacing w:after="0" w:line="240" w:lineRule="auto"/>
      </w:pPr>
      <w:r>
        <w:separator/>
      </w:r>
    </w:p>
  </w:footnote>
  <w:footnote w:type="continuationSeparator" w:id="0">
    <w:p w:rsidR="00C94435" w:rsidRDefault="00C94435" w:rsidP="00C9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35" w:rsidRDefault="00C94435">
    <w:pPr>
      <w:pStyle w:val="Header"/>
    </w:pPr>
    <w:r>
      <w:rPr>
        <w:noProof/>
        <w:lang w:eastAsia="en-GB"/>
      </w:rPr>
      <w:drawing>
        <wp:anchor distT="0" distB="0" distL="114300" distR="114300" simplePos="0" relativeHeight="251661312" behindDoc="0" locked="0" layoutInCell="1" allowOverlap="1" wp14:anchorId="3CA67DE1" wp14:editId="5A38042B">
          <wp:simplePos x="0" y="0"/>
          <wp:positionH relativeFrom="column">
            <wp:posOffset>-714375</wp:posOffset>
          </wp:positionH>
          <wp:positionV relativeFrom="paragraph">
            <wp:posOffset>-381635</wp:posOffset>
          </wp:positionV>
          <wp:extent cx="1229360" cy="798195"/>
          <wp:effectExtent l="0" t="0" r="8890" b="1905"/>
          <wp:wrapSquare wrapText="bothSides"/>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ues_logo_newSHFT_EMAIL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9264" behindDoc="0" locked="0" layoutInCell="1" allowOverlap="1" wp14:anchorId="67D399A8" wp14:editId="3BBAAAB5">
          <wp:simplePos x="0" y="0"/>
          <wp:positionH relativeFrom="column">
            <wp:posOffset>4972050</wp:posOffset>
          </wp:positionH>
          <wp:positionV relativeFrom="paragraph">
            <wp:posOffset>-276860</wp:posOffset>
          </wp:positionV>
          <wp:extent cx="1495425" cy="7473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7473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2D1"/>
    <w:multiLevelType w:val="hybridMultilevel"/>
    <w:tmpl w:val="AC361D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8415BDD"/>
    <w:multiLevelType w:val="hybridMultilevel"/>
    <w:tmpl w:val="6A7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B318B"/>
    <w:multiLevelType w:val="hybridMultilevel"/>
    <w:tmpl w:val="63284DE4"/>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D6C27"/>
    <w:multiLevelType w:val="hybridMultilevel"/>
    <w:tmpl w:val="F26EE6D8"/>
    <w:lvl w:ilvl="0" w:tplc="8098C2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C2C26"/>
    <w:multiLevelType w:val="hybridMultilevel"/>
    <w:tmpl w:val="8B4C8454"/>
    <w:lvl w:ilvl="0" w:tplc="30FC999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5646"/>
    <w:multiLevelType w:val="hybridMultilevel"/>
    <w:tmpl w:val="230AAFA6"/>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F259C"/>
    <w:multiLevelType w:val="hybridMultilevel"/>
    <w:tmpl w:val="DE3C43B0"/>
    <w:lvl w:ilvl="0" w:tplc="4DE00242">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B719F"/>
    <w:multiLevelType w:val="hybridMultilevel"/>
    <w:tmpl w:val="72689C0C"/>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91356"/>
    <w:multiLevelType w:val="hybridMultilevel"/>
    <w:tmpl w:val="E706525C"/>
    <w:lvl w:ilvl="0" w:tplc="8EBC2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36115"/>
    <w:multiLevelType w:val="hybridMultilevel"/>
    <w:tmpl w:val="2B3CE84C"/>
    <w:lvl w:ilvl="0" w:tplc="8EBC2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50865"/>
    <w:multiLevelType w:val="hybridMultilevel"/>
    <w:tmpl w:val="0128BA6A"/>
    <w:lvl w:ilvl="0" w:tplc="0B8658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A1CFF"/>
    <w:multiLevelType w:val="hybridMultilevel"/>
    <w:tmpl w:val="E61A1F14"/>
    <w:lvl w:ilvl="0" w:tplc="8EBC2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62846"/>
    <w:multiLevelType w:val="hybridMultilevel"/>
    <w:tmpl w:val="0C3A6C74"/>
    <w:lvl w:ilvl="0" w:tplc="0809000F">
      <w:start w:val="1"/>
      <w:numFmt w:val="decimal"/>
      <w:lvlText w:val="%1."/>
      <w:lvlJc w:val="left"/>
      <w:pPr>
        <w:ind w:left="720" w:hanging="360"/>
      </w:pPr>
      <w:rPr>
        <w:rFonts w:hint="default"/>
      </w:rPr>
    </w:lvl>
    <w:lvl w:ilvl="1" w:tplc="8EBC28A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048F1"/>
    <w:multiLevelType w:val="hybridMultilevel"/>
    <w:tmpl w:val="9E40910E"/>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F294E"/>
    <w:multiLevelType w:val="hybridMultilevel"/>
    <w:tmpl w:val="657CA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E6659"/>
    <w:multiLevelType w:val="hybridMultilevel"/>
    <w:tmpl w:val="71B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E3FD2"/>
    <w:multiLevelType w:val="hybridMultilevel"/>
    <w:tmpl w:val="9EC8F40E"/>
    <w:lvl w:ilvl="0" w:tplc="8EBC2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94D"/>
    <w:multiLevelType w:val="hybridMultilevel"/>
    <w:tmpl w:val="AF2240C8"/>
    <w:lvl w:ilvl="0" w:tplc="8EBC28AC">
      <w:start w:val="1"/>
      <w:numFmt w:val="bullet"/>
      <w:lvlText w:val=""/>
      <w:lvlJc w:val="left"/>
      <w:pPr>
        <w:ind w:left="720" w:hanging="360"/>
      </w:pPr>
      <w:rPr>
        <w:rFonts w:ascii="Symbol" w:hAnsi="Symbol" w:hint="default"/>
      </w:rPr>
    </w:lvl>
    <w:lvl w:ilvl="1" w:tplc="8EBC28A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66ECD"/>
    <w:multiLevelType w:val="hybridMultilevel"/>
    <w:tmpl w:val="EAD0C310"/>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F77A3"/>
    <w:multiLevelType w:val="hybridMultilevel"/>
    <w:tmpl w:val="EAF8D556"/>
    <w:lvl w:ilvl="0" w:tplc="8EBC2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A6CC2"/>
    <w:multiLevelType w:val="hybridMultilevel"/>
    <w:tmpl w:val="E01ADFE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53072"/>
    <w:multiLevelType w:val="hybridMultilevel"/>
    <w:tmpl w:val="466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372D8"/>
    <w:multiLevelType w:val="hybridMultilevel"/>
    <w:tmpl w:val="297CD530"/>
    <w:lvl w:ilvl="0" w:tplc="8EBC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1"/>
  </w:num>
  <w:num w:numId="5">
    <w:abstractNumId w:val="20"/>
  </w:num>
  <w:num w:numId="6">
    <w:abstractNumId w:val="0"/>
  </w:num>
  <w:num w:numId="7">
    <w:abstractNumId w:val="6"/>
  </w:num>
  <w:num w:numId="8">
    <w:abstractNumId w:val="23"/>
  </w:num>
  <w:num w:numId="9">
    <w:abstractNumId w:val="17"/>
  </w:num>
  <w:num w:numId="10">
    <w:abstractNumId w:val="1"/>
  </w:num>
  <w:num w:numId="11">
    <w:abstractNumId w:val="13"/>
  </w:num>
  <w:num w:numId="12">
    <w:abstractNumId w:val="14"/>
  </w:num>
  <w:num w:numId="13">
    <w:abstractNumId w:val="9"/>
  </w:num>
  <w:num w:numId="14">
    <w:abstractNumId w:val="16"/>
  </w:num>
  <w:num w:numId="15">
    <w:abstractNumId w:val="19"/>
  </w:num>
  <w:num w:numId="16">
    <w:abstractNumId w:val="3"/>
  </w:num>
  <w:num w:numId="17">
    <w:abstractNumId w:val="15"/>
  </w:num>
  <w:num w:numId="18">
    <w:abstractNumId w:val="24"/>
  </w:num>
  <w:num w:numId="19">
    <w:abstractNumId w:val="22"/>
  </w:num>
  <w:num w:numId="20">
    <w:abstractNumId w:val="26"/>
  </w:num>
  <w:num w:numId="21">
    <w:abstractNumId w:val="25"/>
  </w:num>
  <w:num w:numId="22">
    <w:abstractNumId w:val="7"/>
  </w:num>
  <w:num w:numId="23">
    <w:abstractNumId w:val="2"/>
  </w:num>
  <w:num w:numId="24">
    <w:abstractNumId w:val="12"/>
  </w:num>
  <w:num w:numId="25">
    <w:abstractNumId w:val="5"/>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B"/>
    <w:rsid w:val="0004209E"/>
    <w:rsid w:val="000B5475"/>
    <w:rsid w:val="00116CB8"/>
    <w:rsid w:val="001209FF"/>
    <w:rsid w:val="001232AC"/>
    <w:rsid w:val="001A2B68"/>
    <w:rsid w:val="001E5257"/>
    <w:rsid w:val="00250D5A"/>
    <w:rsid w:val="00276303"/>
    <w:rsid w:val="00284C91"/>
    <w:rsid w:val="0032349E"/>
    <w:rsid w:val="00350346"/>
    <w:rsid w:val="003C13BC"/>
    <w:rsid w:val="00597434"/>
    <w:rsid w:val="005C08D3"/>
    <w:rsid w:val="005E6E32"/>
    <w:rsid w:val="006438F3"/>
    <w:rsid w:val="00651798"/>
    <w:rsid w:val="00655C09"/>
    <w:rsid w:val="006F3366"/>
    <w:rsid w:val="0070502B"/>
    <w:rsid w:val="007D2CEE"/>
    <w:rsid w:val="00850B3F"/>
    <w:rsid w:val="00876301"/>
    <w:rsid w:val="00936271"/>
    <w:rsid w:val="00992202"/>
    <w:rsid w:val="009B3014"/>
    <w:rsid w:val="00A926B7"/>
    <w:rsid w:val="00A952CE"/>
    <w:rsid w:val="00AA190B"/>
    <w:rsid w:val="00B84EDE"/>
    <w:rsid w:val="00C05F28"/>
    <w:rsid w:val="00C34326"/>
    <w:rsid w:val="00C35486"/>
    <w:rsid w:val="00C415CD"/>
    <w:rsid w:val="00C65FD0"/>
    <w:rsid w:val="00C94435"/>
    <w:rsid w:val="00C96117"/>
    <w:rsid w:val="00D777AD"/>
    <w:rsid w:val="00DD6F21"/>
    <w:rsid w:val="00DF352F"/>
    <w:rsid w:val="00E42425"/>
    <w:rsid w:val="00E87C1C"/>
    <w:rsid w:val="00F03DAA"/>
    <w:rsid w:val="00F35057"/>
    <w:rsid w:val="00F507DF"/>
    <w:rsid w:val="00F97DD3"/>
    <w:rsid w:val="00FA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BE659B"/>
  <w15:chartTrackingRefBased/>
  <w15:docId w15:val="{D3E1EB97-11C2-409A-919D-8F1DC869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0502B"/>
    <w:pPr>
      <w:ind w:left="720"/>
      <w:contextualSpacing/>
    </w:pPr>
  </w:style>
  <w:style w:type="character" w:styleId="Hyperlink">
    <w:name w:val="Hyperlink"/>
    <w:basedOn w:val="DefaultParagraphFont"/>
    <w:uiPriority w:val="99"/>
    <w:unhideWhenUsed/>
    <w:rsid w:val="00C65FD0"/>
    <w:rPr>
      <w:color w:val="0563C1" w:themeColor="hyperlink"/>
      <w:u w:val="single"/>
    </w:rPr>
  </w:style>
  <w:style w:type="character" w:styleId="CommentReference">
    <w:name w:val="annotation reference"/>
    <w:basedOn w:val="DefaultParagraphFont"/>
    <w:uiPriority w:val="99"/>
    <w:semiHidden/>
    <w:unhideWhenUsed/>
    <w:rsid w:val="00C65FD0"/>
    <w:rPr>
      <w:sz w:val="16"/>
      <w:szCs w:val="16"/>
    </w:rPr>
  </w:style>
  <w:style w:type="paragraph" w:styleId="CommentText">
    <w:name w:val="annotation text"/>
    <w:basedOn w:val="Normal"/>
    <w:link w:val="CommentTextChar"/>
    <w:uiPriority w:val="99"/>
    <w:semiHidden/>
    <w:unhideWhenUsed/>
    <w:rsid w:val="00C65FD0"/>
    <w:pPr>
      <w:spacing w:line="240" w:lineRule="auto"/>
    </w:pPr>
    <w:rPr>
      <w:sz w:val="20"/>
      <w:szCs w:val="20"/>
    </w:rPr>
  </w:style>
  <w:style w:type="character" w:customStyle="1" w:styleId="CommentTextChar">
    <w:name w:val="Comment Text Char"/>
    <w:basedOn w:val="DefaultParagraphFont"/>
    <w:link w:val="CommentText"/>
    <w:uiPriority w:val="99"/>
    <w:semiHidden/>
    <w:rsid w:val="00C65FD0"/>
    <w:rPr>
      <w:sz w:val="20"/>
      <w:szCs w:val="20"/>
    </w:rPr>
  </w:style>
  <w:style w:type="paragraph" w:styleId="BalloonText">
    <w:name w:val="Balloon Text"/>
    <w:basedOn w:val="Normal"/>
    <w:link w:val="BalloonTextChar"/>
    <w:uiPriority w:val="99"/>
    <w:semiHidden/>
    <w:unhideWhenUsed/>
    <w:rsid w:val="00C6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D0"/>
    <w:rPr>
      <w:rFonts w:ascii="Segoe UI" w:hAnsi="Segoe UI" w:cs="Segoe UI"/>
      <w:sz w:val="18"/>
      <w:szCs w:val="18"/>
    </w:rPr>
  </w:style>
  <w:style w:type="table" w:styleId="TableGrid">
    <w:name w:val="Table Grid"/>
    <w:basedOn w:val="TableNormal"/>
    <w:uiPriority w:val="39"/>
    <w:rsid w:val="0099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text"/>
    <w:uiPriority w:val="1"/>
    <w:qFormat/>
    <w:rsid w:val="00F97DD3"/>
    <w:pPr>
      <w:spacing w:after="0" w:line="240" w:lineRule="auto"/>
    </w:pPr>
    <w:rPr>
      <w:rFonts w:ascii="Arial" w:eastAsia="Calibri" w:hAnsi="Arial" w:cs="Times New Roman"/>
      <w:sz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B3014"/>
  </w:style>
  <w:style w:type="paragraph" w:styleId="Header">
    <w:name w:val="header"/>
    <w:basedOn w:val="Normal"/>
    <w:link w:val="HeaderChar"/>
    <w:uiPriority w:val="99"/>
    <w:unhideWhenUsed/>
    <w:rsid w:val="00C9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435"/>
  </w:style>
  <w:style w:type="paragraph" w:styleId="Footer">
    <w:name w:val="footer"/>
    <w:basedOn w:val="Normal"/>
    <w:link w:val="FooterChar"/>
    <w:uiPriority w:val="99"/>
    <w:unhideWhenUsed/>
    <w:rsid w:val="00C9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House (BSW CCG)</dc:creator>
  <cp:keywords/>
  <dc:description/>
  <cp:lastModifiedBy>Amber House (BSW CCG)</cp:lastModifiedBy>
  <cp:revision>3</cp:revision>
  <dcterms:created xsi:type="dcterms:W3CDTF">2021-07-20T10:00:00Z</dcterms:created>
  <dcterms:modified xsi:type="dcterms:W3CDTF">2021-07-20T10:23:00Z</dcterms:modified>
</cp:coreProperties>
</file>