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4D" w:rsidRPr="0054344D" w:rsidRDefault="0054344D" w:rsidP="0054344D">
      <w:pPr>
        <w:keepNext/>
        <w:keepLines/>
        <w:spacing w:before="300" w:after="280" w:line="240" w:lineRule="auto"/>
        <w:outlineLvl w:val="0"/>
        <w:rPr>
          <w:rFonts w:ascii="Arial" w:eastAsia="MS Gothic" w:hAnsi="Arial" w:cs="Times New Roman"/>
          <w:color w:val="005EB8"/>
          <w:sz w:val="40"/>
          <w:szCs w:val="40"/>
        </w:rPr>
      </w:pPr>
      <w:bookmarkStart w:id="0" w:name="_Toc40704929"/>
      <w:bookmarkStart w:id="1" w:name="_Toc45795084"/>
      <w:r w:rsidRPr="0054344D">
        <w:rPr>
          <w:rFonts w:ascii="Arial" w:eastAsia="MS Gothic" w:hAnsi="Arial" w:cs="Times New Roman"/>
          <w:color w:val="005EB8"/>
          <w:sz w:val="40"/>
          <w:szCs w:val="40"/>
        </w:rPr>
        <w:t xml:space="preserve">Benefits of </w:t>
      </w:r>
      <w:r>
        <w:rPr>
          <w:rFonts w:ascii="Arial" w:eastAsia="MS Gothic" w:hAnsi="Arial" w:cs="Times New Roman"/>
          <w:color w:val="005EB8"/>
          <w:sz w:val="40"/>
          <w:szCs w:val="40"/>
        </w:rPr>
        <w:t>P</w:t>
      </w:r>
      <w:r w:rsidRPr="0054344D">
        <w:rPr>
          <w:rFonts w:ascii="Arial" w:eastAsia="MS Gothic" w:hAnsi="Arial" w:cs="Times New Roman"/>
          <w:color w:val="005EB8"/>
          <w:sz w:val="40"/>
          <w:szCs w:val="40"/>
        </w:rPr>
        <w:t xml:space="preserve">atient </w:t>
      </w:r>
      <w:r>
        <w:rPr>
          <w:rFonts w:ascii="Arial" w:eastAsia="MS Gothic" w:hAnsi="Arial" w:cs="Times New Roman"/>
          <w:color w:val="005EB8"/>
          <w:sz w:val="40"/>
          <w:szCs w:val="40"/>
        </w:rPr>
        <w:t>I</w:t>
      </w:r>
      <w:r w:rsidRPr="0054344D">
        <w:rPr>
          <w:rFonts w:ascii="Arial" w:eastAsia="MS Gothic" w:hAnsi="Arial" w:cs="Times New Roman"/>
          <w:color w:val="005EB8"/>
          <w:sz w:val="40"/>
          <w:szCs w:val="40"/>
        </w:rPr>
        <w:t xml:space="preserve">nitiated </w:t>
      </w:r>
      <w:r>
        <w:rPr>
          <w:rFonts w:ascii="Arial" w:eastAsia="MS Gothic" w:hAnsi="Arial" w:cs="Times New Roman"/>
          <w:color w:val="005EB8"/>
          <w:sz w:val="40"/>
          <w:szCs w:val="40"/>
        </w:rPr>
        <w:t>F</w:t>
      </w:r>
      <w:r w:rsidRPr="0054344D">
        <w:rPr>
          <w:rFonts w:ascii="Arial" w:eastAsia="MS Gothic" w:hAnsi="Arial" w:cs="Times New Roman"/>
          <w:color w:val="005EB8"/>
          <w:sz w:val="40"/>
          <w:szCs w:val="40"/>
        </w:rPr>
        <w:t>ollow</w:t>
      </w:r>
      <w:r>
        <w:rPr>
          <w:rFonts w:ascii="Arial" w:eastAsia="MS Gothic" w:hAnsi="Arial" w:cs="Times New Roman"/>
          <w:color w:val="005EB8"/>
          <w:sz w:val="40"/>
          <w:szCs w:val="40"/>
        </w:rPr>
        <w:t xml:space="preserve"> U</w:t>
      </w:r>
      <w:r w:rsidRPr="0054344D">
        <w:rPr>
          <w:rFonts w:ascii="Arial" w:eastAsia="MS Gothic" w:hAnsi="Arial" w:cs="Times New Roman"/>
          <w:color w:val="005EB8"/>
          <w:sz w:val="40"/>
          <w:szCs w:val="40"/>
        </w:rPr>
        <w:t>p</w:t>
      </w:r>
      <w:bookmarkEnd w:id="0"/>
      <w:bookmarkEnd w:id="1"/>
    </w:p>
    <w:p w:rsidR="0054344D" w:rsidRPr="0054344D" w:rsidRDefault="0054344D" w:rsidP="0054344D">
      <w:pPr>
        <w:spacing w:after="280" w:line="360" w:lineRule="atLeast"/>
        <w:rPr>
          <w:rFonts w:ascii="Arial" w:eastAsia="Arial" w:hAnsi="Arial" w:cs="Times New Roman"/>
          <w:color w:val="231F20"/>
          <w:sz w:val="24"/>
          <w:szCs w:val="24"/>
        </w:rPr>
      </w:pPr>
      <w:r w:rsidRPr="0054344D">
        <w:rPr>
          <w:rFonts w:ascii="Arial" w:eastAsia="Arial" w:hAnsi="Arial" w:cs="Times New Roman"/>
          <w:color w:val="231F20"/>
          <w:sz w:val="24"/>
          <w:szCs w:val="24"/>
        </w:rPr>
        <w:t xml:space="preserve">PIFU can reduce service waiting lists and by helping services become more responsive, reduce the clinical risk of patients awaiting follow up on a caseload. They also give clinicians the opportunity to address some patients’ unease about engaging with services during the COVID-19 pandemic. Clinicians agree clear criteria with patients on when they should make contact with the service and how to do it. </w:t>
      </w:r>
    </w:p>
    <w:tbl>
      <w:tblPr>
        <w:tblStyle w:val="NHSHighlightBox"/>
        <w:tblW w:w="9871" w:type="dxa"/>
        <w:tblCellMar>
          <w:top w:w="142" w:type="dxa"/>
          <w:left w:w="227" w:type="dxa"/>
          <w:bottom w:w="142" w:type="dxa"/>
          <w:right w:w="227" w:type="dxa"/>
        </w:tblCellMar>
        <w:tblLook w:val="04A0" w:firstRow="1" w:lastRow="0" w:firstColumn="1" w:lastColumn="0" w:noHBand="0" w:noVBand="1"/>
      </w:tblPr>
      <w:tblGrid>
        <w:gridCol w:w="9871"/>
      </w:tblGrid>
      <w:tr w:rsidR="0054344D" w:rsidRPr="0054344D" w:rsidTr="00CB2DE7">
        <w:trPr>
          <w:trHeight w:val="1238"/>
        </w:trPr>
        <w:tc>
          <w:tcPr>
            <w:tcW w:w="9871" w:type="dxa"/>
          </w:tcPr>
          <w:p w:rsidR="0054344D" w:rsidRPr="0054344D" w:rsidRDefault="0054344D" w:rsidP="0054344D">
            <w:pPr>
              <w:spacing w:after="120"/>
              <w:rPr>
                <w:rFonts w:ascii="Arial" w:eastAsia="Arial" w:hAnsi="Arial" w:cs="Times New Roman"/>
                <w:color w:val="231F20"/>
                <w:lang w:eastAsia="en-GB"/>
              </w:rPr>
            </w:pPr>
            <w:r w:rsidRPr="0054344D">
              <w:rPr>
                <w:rFonts w:ascii="Arial" w:eastAsia="Arial" w:hAnsi="Arial" w:cs="Times New Roman"/>
                <w:color w:val="231F20"/>
                <w:lang w:eastAsia="en-GB"/>
              </w:rPr>
              <w:t>“Research shows that having regular follow-ups does not necessarily prevent patients’ conditions returning or identify new problems. In fact, many people find the visits to hospital cause a lot of unnecessary anxiety.”</w:t>
            </w:r>
          </w:p>
          <w:p w:rsidR="0054344D" w:rsidRPr="0054344D" w:rsidRDefault="0054344D" w:rsidP="0054344D">
            <w:pPr>
              <w:spacing w:after="120"/>
              <w:jc w:val="right"/>
              <w:rPr>
                <w:rFonts w:ascii="Arial" w:eastAsia="Arial" w:hAnsi="Arial" w:cs="Times New Roman"/>
                <w:color w:val="231F20"/>
              </w:rPr>
            </w:pPr>
            <w:r w:rsidRPr="0054344D">
              <w:rPr>
                <w:rFonts w:ascii="Arial" w:eastAsia="Arial" w:hAnsi="Arial" w:cs="Times New Roman"/>
                <w:color w:val="231F20"/>
                <w:lang w:eastAsia="en-GB"/>
              </w:rPr>
              <w:t>Trust medical director</w:t>
            </w:r>
          </w:p>
        </w:tc>
      </w:tr>
    </w:tbl>
    <w:p w:rsidR="0054344D" w:rsidRPr="0054344D" w:rsidRDefault="0054344D" w:rsidP="0054344D">
      <w:pPr>
        <w:spacing w:before="360" w:after="280" w:line="240" w:lineRule="auto"/>
        <w:rPr>
          <w:rFonts w:ascii="Arial" w:eastAsia="Arial" w:hAnsi="Arial" w:cs="Times New Roman"/>
          <w:b/>
          <w:bCs/>
          <w:color w:val="231F20"/>
          <w:sz w:val="24"/>
          <w:szCs w:val="24"/>
        </w:rPr>
      </w:pPr>
      <w:r w:rsidRPr="0054344D">
        <w:rPr>
          <w:rFonts w:ascii="Arial" w:eastAsia="Arial" w:hAnsi="Arial" w:cs="Times New Roman"/>
          <w:b/>
          <w:bCs/>
          <w:color w:val="231F20"/>
          <w:sz w:val="24"/>
          <w:szCs w:val="24"/>
        </w:rPr>
        <w:t>PIFUs offer the following benefits:</w:t>
      </w:r>
    </w:p>
    <w:tbl>
      <w:tblPr>
        <w:tblStyle w:val="TableGrid1"/>
        <w:tblW w:w="10490" w:type="dxa"/>
        <w:tblInd w:w="-329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shd w:val="clear" w:color="auto" w:fill="D9D9D9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3402"/>
      </w:tblGrid>
      <w:tr w:rsidR="0054344D" w:rsidRPr="0054344D" w:rsidTr="0054344D">
        <w:trPr>
          <w:trHeight w:val="1357"/>
        </w:trPr>
        <w:tc>
          <w:tcPr>
            <w:tcW w:w="3686" w:type="dxa"/>
            <w:shd w:val="clear" w:color="auto" w:fill="D9D9D9"/>
          </w:tcPr>
          <w:p w:rsidR="0054344D" w:rsidRPr="0054344D" w:rsidRDefault="0054344D" w:rsidP="0054344D">
            <w:pPr>
              <w:spacing w:after="200"/>
              <w:rPr>
                <w:rFonts w:ascii="Arial" w:eastAsia="Arial" w:hAnsi="Arial" w:cs="Arial"/>
                <w:b/>
                <w:bCs/>
                <w:kern w:val="24"/>
              </w:rPr>
            </w:pPr>
            <w:r w:rsidRPr="0054344D">
              <w:rPr>
                <w:rFonts w:ascii="Arial" w:eastAsia="Arial" w:hAnsi="Arial" w:cs="Arial"/>
                <w:b/>
                <w:bCs/>
                <w:kern w:val="24"/>
              </w:rPr>
              <w:t>Benefits to patients</w:t>
            </w:r>
          </w:p>
          <w:p w:rsidR="0054344D" w:rsidRPr="0054344D" w:rsidRDefault="0054344D" w:rsidP="0054344D">
            <w:pPr>
              <w:rPr>
                <w:rFonts w:ascii="Arial" w:eastAsia="Arial" w:hAnsi="Arial" w:cs="Times New Roman"/>
              </w:rPr>
            </w:pPr>
          </w:p>
          <w:p w:rsidR="0054344D" w:rsidRPr="0054344D" w:rsidRDefault="0054344D" w:rsidP="0054344D">
            <w:pPr>
              <w:numPr>
                <w:ilvl w:val="0"/>
                <w:numId w:val="7"/>
              </w:numPr>
              <w:tabs>
                <w:tab w:val="num" w:pos="166"/>
              </w:tabs>
              <w:spacing w:after="50"/>
              <w:ind w:left="165" w:hanging="142"/>
              <w:rPr>
                <w:rFonts w:ascii="Arial" w:eastAsia="Times New Roman" w:hAnsi="Arial" w:cs="Arial"/>
              </w:rPr>
            </w:pPr>
            <w:r w:rsidRPr="0054344D">
              <w:rPr>
                <w:rFonts w:ascii="Arial" w:eastAsia="Arial" w:hAnsi="Arial" w:cs="Arial"/>
                <w:kern w:val="24"/>
              </w:rPr>
              <w:t>Alongside remote appointments, encourages patients to attend appointments over the COVID-19 pandemic as they know they will not need to go to an NHS site unless clinically necessary</w:t>
            </w:r>
          </w:p>
          <w:p w:rsidR="0054344D" w:rsidRPr="0054344D" w:rsidRDefault="0054344D" w:rsidP="0054344D">
            <w:pPr>
              <w:numPr>
                <w:ilvl w:val="0"/>
                <w:numId w:val="7"/>
              </w:numPr>
              <w:tabs>
                <w:tab w:val="num" w:pos="166"/>
              </w:tabs>
              <w:spacing w:after="50"/>
              <w:ind w:left="165" w:hanging="142"/>
              <w:rPr>
                <w:rFonts w:ascii="Arial" w:eastAsia="Times New Roman" w:hAnsi="Arial" w:cs="Arial"/>
              </w:rPr>
            </w:pPr>
            <w:r w:rsidRPr="0054344D">
              <w:rPr>
                <w:rFonts w:ascii="Arial" w:eastAsia="Arial" w:hAnsi="Arial" w:cs="Arial"/>
                <w:kern w:val="24"/>
              </w:rPr>
              <w:t>Improves patients’ engagement with their health (patient activation)</w:t>
            </w:r>
          </w:p>
          <w:p w:rsidR="0054344D" w:rsidRPr="0054344D" w:rsidRDefault="0054344D" w:rsidP="0054344D">
            <w:pPr>
              <w:numPr>
                <w:ilvl w:val="0"/>
                <w:numId w:val="7"/>
              </w:numPr>
              <w:tabs>
                <w:tab w:val="num" w:pos="166"/>
              </w:tabs>
              <w:spacing w:after="50"/>
              <w:ind w:left="165" w:hanging="142"/>
              <w:rPr>
                <w:rFonts w:ascii="Arial" w:eastAsia="Times New Roman" w:hAnsi="Arial" w:cs="Arial"/>
              </w:rPr>
            </w:pPr>
            <w:r w:rsidRPr="0054344D">
              <w:rPr>
                <w:rFonts w:ascii="Arial" w:eastAsia="Arial" w:hAnsi="Arial" w:cs="Arial"/>
                <w:kern w:val="24"/>
              </w:rPr>
              <w:t>Empowers patients by allowing them to book appointments when they most need them (e.g. during a flare up)</w:t>
            </w:r>
          </w:p>
          <w:p w:rsidR="0054344D" w:rsidRPr="0054344D" w:rsidRDefault="0054344D" w:rsidP="0054344D">
            <w:pPr>
              <w:numPr>
                <w:ilvl w:val="0"/>
                <w:numId w:val="7"/>
              </w:numPr>
              <w:tabs>
                <w:tab w:val="num" w:pos="166"/>
              </w:tabs>
              <w:spacing w:after="50"/>
              <w:ind w:left="165" w:hanging="142"/>
              <w:rPr>
                <w:rFonts w:ascii="Arial" w:eastAsia="Times New Roman" w:hAnsi="Arial" w:cs="Arial"/>
              </w:rPr>
            </w:pPr>
            <w:r w:rsidRPr="0054344D">
              <w:rPr>
                <w:rFonts w:ascii="Arial" w:eastAsia="Arial" w:hAnsi="Arial" w:cs="Arial"/>
                <w:kern w:val="24"/>
              </w:rPr>
              <w:t>Services are more responsive due to improved management of waiting lists</w:t>
            </w:r>
          </w:p>
          <w:p w:rsidR="0054344D" w:rsidRPr="0054344D" w:rsidRDefault="0054344D" w:rsidP="0054344D">
            <w:pPr>
              <w:numPr>
                <w:ilvl w:val="0"/>
                <w:numId w:val="7"/>
              </w:numPr>
              <w:tabs>
                <w:tab w:val="num" w:pos="166"/>
              </w:tabs>
              <w:spacing w:after="50"/>
              <w:ind w:left="165" w:hanging="142"/>
              <w:rPr>
                <w:rFonts w:ascii="Arial" w:eastAsia="Times New Roman" w:hAnsi="Arial" w:cs="Arial"/>
              </w:rPr>
            </w:pPr>
            <w:r w:rsidRPr="0054344D">
              <w:rPr>
                <w:rFonts w:ascii="Arial" w:eastAsia="Arial" w:hAnsi="Arial" w:cs="Arial"/>
                <w:kern w:val="24"/>
              </w:rPr>
              <w:t>Time and cost savings due to not having to travel to appointments without clinical need</w:t>
            </w:r>
            <w:bookmarkStart w:id="2" w:name="_Ref41660238"/>
            <w:r w:rsidRPr="0054344D">
              <w:rPr>
                <w:rFonts w:ascii="Arial" w:eastAsia="Arial" w:hAnsi="Arial" w:cs="Arial"/>
                <w:vertAlign w:val="superscript"/>
              </w:rPr>
              <w:footnoteReference w:id="1"/>
            </w:r>
            <w:bookmarkEnd w:id="2"/>
            <w:r w:rsidRPr="0054344D">
              <w:rPr>
                <w:rFonts w:ascii="Arial" w:eastAsia="Arial" w:hAnsi="Arial" w:cs="Arial"/>
                <w:kern w:val="24"/>
                <w:vertAlign w:val="superscript"/>
              </w:rPr>
              <w:t>,</w:t>
            </w:r>
            <w:bookmarkStart w:id="3" w:name="_Ref41898015"/>
            <w:r w:rsidRPr="0054344D">
              <w:rPr>
                <w:rFonts w:ascii="Arial" w:eastAsia="Arial" w:hAnsi="Arial" w:cs="Arial"/>
                <w:vertAlign w:val="superscript"/>
              </w:rPr>
              <w:footnoteReference w:id="2"/>
            </w:r>
            <w:bookmarkEnd w:id="3"/>
          </w:p>
          <w:p w:rsidR="0054344D" w:rsidRPr="0054344D" w:rsidRDefault="0054344D" w:rsidP="0054344D">
            <w:pPr>
              <w:numPr>
                <w:ilvl w:val="0"/>
                <w:numId w:val="7"/>
              </w:numPr>
              <w:tabs>
                <w:tab w:val="num" w:pos="166"/>
              </w:tabs>
              <w:ind w:left="166" w:hanging="142"/>
              <w:contextualSpacing/>
              <w:rPr>
                <w:rFonts w:ascii="Arial" w:eastAsia="Times New Roman" w:hAnsi="Arial" w:cs="Arial"/>
              </w:rPr>
            </w:pPr>
            <w:r w:rsidRPr="0054344D">
              <w:rPr>
                <w:rFonts w:ascii="Arial" w:eastAsia="Times New Roman" w:hAnsi="Arial" w:cs="Arial"/>
              </w:rPr>
              <w:t>Improved patient satisfaction</w:t>
            </w:r>
            <w:bookmarkStart w:id="4" w:name="_Ref41898018"/>
            <w:r w:rsidRPr="0054344D">
              <w:rPr>
                <w:rFonts w:ascii="Arial" w:eastAsia="Times New Roman" w:hAnsi="Arial" w:cs="Arial"/>
                <w:vertAlign w:val="superscript"/>
              </w:rPr>
              <w:footnoteReference w:id="3"/>
            </w:r>
            <w:bookmarkEnd w:id="4"/>
            <w:r w:rsidRPr="0054344D">
              <w:rPr>
                <w:rFonts w:ascii="Arial" w:eastAsia="Times New Roman" w:hAnsi="Arial" w:cs="Arial"/>
              </w:rPr>
              <w:t xml:space="preserve"> and reduction in anxiety</w:t>
            </w:r>
          </w:p>
        </w:tc>
        <w:tc>
          <w:tcPr>
            <w:tcW w:w="3402" w:type="dxa"/>
            <w:shd w:val="clear" w:color="auto" w:fill="D9D9D9"/>
          </w:tcPr>
          <w:p w:rsidR="0054344D" w:rsidRPr="0054344D" w:rsidRDefault="0054344D" w:rsidP="0054344D">
            <w:pPr>
              <w:spacing w:after="200"/>
              <w:rPr>
                <w:rFonts w:ascii="Arial" w:eastAsia="Arial" w:hAnsi="Arial" w:cs="Arial"/>
                <w:b/>
                <w:bCs/>
                <w:kern w:val="24"/>
              </w:rPr>
            </w:pPr>
            <w:r w:rsidRPr="0054344D">
              <w:rPr>
                <w:rFonts w:ascii="Arial" w:eastAsia="Arial" w:hAnsi="Arial" w:cs="Arial"/>
                <w:b/>
                <w:bCs/>
                <w:kern w:val="24"/>
              </w:rPr>
              <w:t>Benefits to clinicians</w:t>
            </w:r>
          </w:p>
          <w:p w:rsidR="0054344D" w:rsidRPr="0054344D" w:rsidRDefault="0054344D" w:rsidP="0054344D">
            <w:pPr>
              <w:rPr>
                <w:rFonts w:ascii="Arial" w:eastAsia="Arial" w:hAnsi="Arial" w:cs="Times New Roman"/>
              </w:rPr>
            </w:pPr>
          </w:p>
          <w:p w:rsidR="0054344D" w:rsidRPr="0054344D" w:rsidRDefault="0054344D" w:rsidP="0054344D">
            <w:pPr>
              <w:numPr>
                <w:ilvl w:val="0"/>
                <w:numId w:val="8"/>
              </w:numPr>
              <w:tabs>
                <w:tab w:val="num" w:pos="176"/>
              </w:tabs>
              <w:spacing w:after="50"/>
              <w:ind w:left="176" w:hanging="176"/>
              <w:rPr>
                <w:rFonts w:ascii="Arial" w:eastAsia="Times New Roman" w:hAnsi="Arial" w:cs="Arial"/>
              </w:rPr>
            </w:pPr>
            <w:r w:rsidRPr="0054344D">
              <w:rPr>
                <w:rFonts w:ascii="Arial" w:eastAsia="Arial" w:hAnsi="Arial" w:cs="Arial"/>
                <w:kern w:val="24"/>
              </w:rPr>
              <w:t>Ensures clinicians know that they are seeing the patients who need it the most</w:t>
            </w:r>
          </w:p>
          <w:p w:rsidR="0054344D" w:rsidRPr="0054344D" w:rsidRDefault="0054344D" w:rsidP="0054344D">
            <w:pPr>
              <w:numPr>
                <w:ilvl w:val="0"/>
                <w:numId w:val="8"/>
              </w:numPr>
              <w:tabs>
                <w:tab w:val="num" w:pos="176"/>
              </w:tabs>
              <w:spacing w:after="50"/>
              <w:ind w:left="176" w:hanging="176"/>
              <w:rPr>
                <w:rFonts w:ascii="Arial" w:eastAsia="Times New Roman" w:hAnsi="Arial" w:cs="Arial"/>
              </w:rPr>
            </w:pPr>
            <w:r w:rsidRPr="0054344D">
              <w:rPr>
                <w:rFonts w:ascii="Arial" w:eastAsia="Arial" w:hAnsi="Arial" w:cs="Arial"/>
                <w:kern w:val="24"/>
              </w:rPr>
              <w:t>Provides a mechanism for the clinician to jointly develop plans and ‘what if’ scenarios with patients, and share the clinical risk</w:t>
            </w:r>
          </w:p>
          <w:p w:rsidR="0054344D" w:rsidRPr="0054344D" w:rsidRDefault="0054344D" w:rsidP="0054344D">
            <w:pPr>
              <w:numPr>
                <w:ilvl w:val="0"/>
                <w:numId w:val="8"/>
              </w:numPr>
              <w:tabs>
                <w:tab w:val="num" w:pos="176"/>
              </w:tabs>
              <w:spacing w:after="50"/>
              <w:ind w:left="176" w:hanging="176"/>
              <w:rPr>
                <w:rFonts w:ascii="Arial" w:eastAsia="Times New Roman" w:hAnsi="Arial" w:cs="Arial"/>
              </w:rPr>
            </w:pPr>
            <w:r w:rsidRPr="0054344D">
              <w:rPr>
                <w:rFonts w:ascii="Arial" w:eastAsia="Arial" w:hAnsi="Arial" w:cs="Arial"/>
                <w:kern w:val="24"/>
              </w:rPr>
              <w:t>Helps clinicians to manage their caseloads and waiting lists</w:t>
            </w:r>
          </w:p>
          <w:p w:rsidR="0054344D" w:rsidRPr="0054344D" w:rsidRDefault="0054344D" w:rsidP="0054344D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76"/>
              <w:contextualSpacing/>
              <w:rPr>
                <w:rFonts w:ascii="Arial" w:eastAsia="Times New Roman" w:hAnsi="Arial" w:cs="Arial"/>
              </w:rPr>
            </w:pPr>
            <w:r w:rsidRPr="0054344D">
              <w:rPr>
                <w:rFonts w:ascii="Arial" w:eastAsia="Arial" w:hAnsi="Arial" w:cs="Arial"/>
                <w:kern w:val="24"/>
              </w:rPr>
              <w:t>Gives clinicians confidence that patients know how to contact services if they need to</w:t>
            </w:r>
          </w:p>
        </w:tc>
        <w:tc>
          <w:tcPr>
            <w:tcW w:w="3402" w:type="dxa"/>
            <w:shd w:val="clear" w:color="auto" w:fill="D9D9D9"/>
          </w:tcPr>
          <w:p w:rsidR="0054344D" w:rsidRPr="0054344D" w:rsidRDefault="0054344D" w:rsidP="0054344D">
            <w:pPr>
              <w:spacing w:after="200"/>
              <w:rPr>
                <w:rFonts w:ascii="Arial" w:eastAsia="Arial" w:hAnsi="Arial" w:cs="Times New Roman"/>
              </w:rPr>
            </w:pPr>
            <w:r w:rsidRPr="0054344D">
              <w:rPr>
                <w:rFonts w:ascii="Arial" w:eastAsia="Arial" w:hAnsi="Arial" w:cs="Arial"/>
                <w:b/>
                <w:bCs/>
                <w:kern w:val="24"/>
              </w:rPr>
              <w:t>Benefits to organisations and systems</w:t>
            </w:r>
          </w:p>
          <w:p w:rsidR="0054344D" w:rsidRPr="0054344D" w:rsidRDefault="0054344D" w:rsidP="0054344D">
            <w:pPr>
              <w:numPr>
                <w:ilvl w:val="0"/>
                <w:numId w:val="9"/>
              </w:numPr>
              <w:tabs>
                <w:tab w:val="num" w:pos="177"/>
              </w:tabs>
              <w:spacing w:after="50"/>
              <w:ind w:left="176" w:hanging="176"/>
              <w:rPr>
                <w:rFonts w:ascii="Arial" w:eastAsia="Times New Roman" w:hAnsi="Arial" w:cs="Arial"/>
              </w:rPr>
            </w:pPr>
            <w:r w:rsidRPr="0054344D">
              <w:rPr>
                <w:rFonts w:ascii="Arial" w:eastAsia="Arial" w:hAnsi="Arial" w:cs="Arial"/>
                <w:kern w:val="24"/>
              </w:rPr>
              <w:t>Reduction in waiting times and waiting lists due to net reduction in follow-up appointments</w:t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  <w:fldChar w:fldCharType="begin"/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  <w:instrText xml:space="preserve"> NOTEREF _Ref41660238 \h  \* MERGEFORMAT </w:instrText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  <w:fldChar w:fldCharType="separate"/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  <w:t>4</w:t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  <w:fldChar w:fldCharType="end"/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  <w:t>,</w:t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  <w:fldChar w:fldCharType="begin"/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  <w:instrText xml:space="preserve"> NOTEREF _Ref41898015 \h  \* MERGEFORMAT </w:instrText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  <w:fldChar w:fldCharType="separate"/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  <w:t>5</w:t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  <w:fldChar w:fldCharType="end"/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  <w:t>,</w:t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  <w:fldChar w:fldCharType="begin"/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  <w:instrText xml:space="preserve"> NOTEREF _Ref41898018 \h  \* MERGEFORMAT </w:instrText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  <w:fldChar w:fldCharType="separate"/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  <w:t>6</w:t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  <w:fldChar w:fldCharType="end"/>
            </w:r>
          </w:p>
          <w:p w:rsidR="0054344D" w:rsidRPr="0054344D" w:rsidRDefault="0054344D" w:rsidP="0054344D">
            <w:pPr>
              <w:numPr>
                <w:ilvl w:val="0"/>
                <w:numId w:val="9"/>
              </w:numPr>
              <w:tabs>
                <w:tab w:val="num" w:pos="177"/>
              </w:tabs>
              <w:spacing w:after="50"/>
              <w:ind w:left="176" w:hanging="176"/>
              <w:rPr>
                <w:rFonts w:ascii="Arial" w:eastAsia="Arial" w:hAnsi="Arial" w:cs="Arial"/>
                <w:kern w:val="24"/>
              </w:rPr>
            </w:pPr>
            <w:r w:rsidRPr="0054344D">
              <w:rPr>
                <w:rFonts w:ascii="Arial" w:eastAsia="Arial" w:hAnsi="Arial" w:cs="Arial"/>
                <w:kern w:val="24"/>
              </w:rPr>
              <w:t>Avoids overcrowding of waiting areas, which is essential for continued social distancing as part of COVID-19 recovery</w:t>
            </w:r>
          </w:p>
          <w:p w:rsidR="0054344D" w:rsidRPr="0054344D" w:rsidRDefault="0054344D" w:rsidP="0054344D">
            <w:pPr>
              <w:numPr>
                <w:ilvl w:val="0"/>
                <w:numId w:val="9"/>
              </w:numPr>
              <w:tabs>
                <w:tab w:val="num" w:pos="177"/>
              </w:tabs>
              <w:spacing w:after="50"/>
              <w:ind w:left="176" w:hanging="176"/>
              <w:rPr>
                <w:rFonts w:ascii="Arial" w:eastAsia="Arial" w:hAnsi="Arial" w:cs="Arial"/>
                <w:kern w:val="24"/>
              </w:rPr>
            </w:pPr>
            <w:r w:rsidRPr="0054344D">
              <w:rPr>
                <w:rFonts w:ascii="Arial" w:eastAsia="Arial" w:hAnsi="Arial" w:cs="Arial"/>
                <w:kern w:val="24"/>
              </w:rPr>
              <w:t>Reduction in service costs</w:t>
            </w:r>
            <w:r w:rsidRPr="0054344D">
              <w:rPr>
                <w:rFonts w:ascii="Arial" w:eastAsia="Times New Roman" w:hAnsi="Arial" w:cs="Arial"/>
                <w:vertAlign w:val="superscript"/>
              </w:rPr>
              <w:fldChar w:fldCharType="begin"/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  <w:instrText xml:space="preserve"> NOTEREF _Ref41660238 \h </w:instrText>
            </w:r>
            <w:r w:rsidRPr="0054344D">
              <w:rPr>
                <w:rFonts w:ascii="Arial" w:eastAsia="Times New Roman" w:hAnsi="Arial" w:cs="Arial"/>
                <w:vertAlign w:val="superscript"/>
              </w:rPr>
              <w:instrText xml:space="preserve"> \* MERGEFORMAT </w:instrText>
            </w:r>
            <w:r w:rsidRPr="0054344D">
              <w:rPr>
                <w:rFonts w:ascii="Arial" w:eastAsia="Times New Roman" w:hAnsi="Arial" w:cs="Arial"/>
                <w:vertAlign w:val="superscript"/>
              </w:rPr>
            </w:r>
            <w:r w:rsidRPr="0054344D">
              <w:rPr>
                <w:rFonts w:ascii="Arial" w:eastAsia="Times New Roman" w:hAnsi="Arial" w:cs="Arial"/>
                <w:vertAlign w:val="superscript"/>
              </w:rPr>
              <w:fldChar w:fldCharType="separate"/>
            </w:r>
            <w:r w:rsidRPr="0054344D">
              <w:rPr>
                <w:rFonts w:ascii="Arial" w:eastAsia="Arial" w:hAnsi="Arial" w:cs="Arial"/>
                <w:kern w:val="24"/>
                <w:vertAlign w:val="superscript"/>
              </w:rPr>
              <w:t>4</w:t>
            </w:r>
            <w:r w:rsidRPr="0054344D">
              <w:rPr>
                <w:rFonts w:ascii="Arial" w:eastAsia="Times New Roman" w:hAnsi="Arial" w:cs="Arial"/>
                <w:vertAlign w:val="superscript"/>
              </w:rPr>
              <w:fldChar w:fldCharType="end"/>
            </w:r>
          </w:p>
          <w:p w:rsidR="0054344D" w:rsidRPr="0054344D" w:rsidRDefault="0054344D" w:rsidP="0054344D">
            <w:pPr>
              <w:numPr>
                <w:ilvl w:val="0"/>
                <w:numId w:val="9"/>
              </w:numPr>
              <w:tabs>
                <w:tab w:val="num" w:pos="177"/>
              </w:tabs>
              <w:spacing w:after="50"/>
              <w:ind w:left="176" w:hanging="176"/>
              <w:rPr>
                <w:rFonts w:ascii="Arial" w:eastAsia="Arial" w:hAnsi="Arial" w:cs="Arial"/>
                <w:kern w:val="24"/>
              </w:rPr>
            </w:pPr>
            <w:r w:rsidRPr="0054344D">
              <w:rPr>
                <w:rFonts w:ascii="Arial" w:eastAsia="Arial" w:hAnsi="Arial" w:cs="Arial"/>
                <w:kern w:val="24"/>
              </w:rPr>
              <w:t>Reduction in did not attends (DNAs) and improved use of clinical resources</w:t>
            </w:r>
          </w:p>
          <w:p w:rsidR="0054344D" w:rsidRPr="0054344D" w:rsidRDefault="0054344D" w:rsidP="0054344D">
            <w:pPr>
              <w:numPr>
                <w:ilvl w:val="0"/>
                <w:numId w:val="9"/>
              </w:numPr>
              <w:tabs>
                <w:tab w:val="num" w:pos="177"/>
              </w:tabs>
              <w:spacing w:after="50"/>
              <w:ind w:left="176" w:hanging="176"/>
              <w:rPr>
                <w:rFonts w:ascii="Arial" w:eastAsia="Times New Roman" w:hAnsi="Arial" w:cs="Arial"/>
              </w:rPr>
            </w:pPr>
            <w:r w:rsidRPr="0054344D">
              <w:rPr>
                <w:rFonts w:ascii="Arial" w:eastAsia="Arial" w:hAnsi="Arial" w:cs="Arial"/>
                <w:kern w:val="24"/>
              </w:rPr>
              <w:t>Reduction in unmet need and clinical risk from patients being on waiting lists for follow-up appointments</w:t>
            </w:r>
          </w:p>
          <w:p w:rsidR="0054344D" w:rsidRPr="0054344D" w:rsidRDefault="0054344D" w:rsidP="0054344D">
            <w:pPr>
              <w:numPr>
                <w:ilvl w:val="0"/>
                <w:numId w:val="9"/>
              </w:numPr>
              <w:tabs>
                <w:tab w:val="num" w:pos="177"/>
              </w:tabs>
              <w:ind w:left="177" w:hanging="177"/>
              <w:contextualSpacing/>
              <w:rPr>
                <w:rFonts w:ascii="Arial" w:eastAsia="Arial" w:hAnsi="Arial" w:cs="Arial"/>
              </w:rPr>
            </w:pPr>
            <w:r w:rsidRPr="0054344D">
              <w:rPr>
                <w:rFonts w:ascii="Arial" w:eastAsia="Arial" w:hAnsi="Arial" w:cs="Arial"/>
                <w:kern w:val="24"/>
              </w:rPr>
              <w:t>Enabler to delivering the NHS Long Term Plan aim of reducing outpatient appointments by 30%</w:t>
            </w:r>
          </w:p>
        </w:tc>
      </w:tr>
    </w:tbl>
    <w:p w:rsidR="007A01BF" w:rsidRPr="0054344D" w:rsidRDefault="009B0D8D" w:rsidP="0054344D"/>
    <w:sectPr w:rsidR="007A01BF" w:rsidRPr="00543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8D" w:rsidRDefault="009B0D8D" w:rsidP="0054344D">
      <w:pPr>
        <w:spacing w:after="0" w:line="240" w:lineRule="auto"/>
      </w:pPr>
      <w:r>
        <w:separator/>
      </w:r>
    </w:p>
  </w:endnote>
  <w:endnote w:type="continuationSeparator" w:id="0">
    <w:p w:rsidR="009B0D8D" w:rsidRDefault="009B0D8D" w:rsidP="0054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8D" w:rsidRDefault="009B0D8D" w:rsidP="0054344D">
      <w:pPr>
        <w:spacing w:after="0" w:line="240" w:lineRule="auto"/>
      </w:pPr>
      <w:r>
        <w:separator/>
      </w:r>
    </w:p>
  </w:footnote>
  <w:footnote w:type="continuationSeparator" w:id="0">
    <w:p w:rsidR="009B0D8D" w:rsidRDefault="009B0D8D" w:rsidP="0054344D">
      <w:pPr>
        <w:spacing w:after="0" w:line="240" w:lineRule="auto"/>
      </w:pPr>
      <w:r>
        <w:continuationSeparator/>
      </w:r>
    </w:p>
  </w:footnote>
  <w:footnote w:id="1">
    <w:p w:rsidR="0054344D" w:rsidRPr="0054344D" w:rsidRDefault="0054344D" w:rsidP="0054344D">
      <w:pPr>
        <w:rPr>
          <w:rFonts w:ascii="Arial" w:hAnsi="Arial" w:cs="Arial"/>
          <w:sz w:val="20"/>
          <w:szCs w:val="20"/>
        </w:rPr>
      </w:pPr>
    </w:p>
  </w:footnote>
  <w:footnote w:id="2">
    <w:p w:rsidR="0054344D" w:rsidRPr="0054344D" w:rsidRDefault="0054344D" w:rsidP="0054344D">
      <w:pPr>
        <w:rPr>
          <w:rFonts w:ascii="Arial" w:hAnsi="Arial" w:cs="Arial"/>
          <w:sz w:val="20"/>
          <w:szCs w:val="20"/>
        </w:rPr>
      </w:pPr>
    </w:p>
  </w:footnote>
  <w:footnote w:id="3">
    <w:p w:rsidR="0054344D" w:rsidRPr="0054344D" w:rsidRDefault="0054344D" w:rsidP="0054344D">
      <w:pPr>
        <w:pStyle w:val="FootnoteText1"/>
        <w:rPr>
          <w:rFonts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427"/>
    <w:multiLevelType w:val="multilevel"/>
    <w:tmpl w:val="A734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A93955"/>
    <w:multiLevelType w:val="hybridMultilevel"/>
    <w:tmpl w:val="80EC682C"/>
    <w:lvl w:ilvl="0" w:tplc="F6C6A5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8055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F0E2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3E5A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2D21E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5CE1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03496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B2D7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592D9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C2411D3"/>
    <w:multiLevelType w:val="multilevel"/>
    <w:tmpl w:val="141A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2F7CE0"/>
    <w:multiLevelType w:val="multilevel"/>
    <w:tmpl w:val="F738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B715EE"/>
    <w:multiLevelType w:val="multilevel"/>
    <w:tmpl w:val="0518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76649"/>
    <w:multiLevelType w:val="multilevel"/>
    <w:tmpl w:val="9828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6277C0"/>
    <w:multiLevelType w:val="hybridMultilevel"/>
    <w:tmpl w:val="AB488E38"/>
    <w:lvl w:ilvl="0" w:tplc="6E2623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CAA5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9430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4468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8D4FD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C24F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68F4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8CEC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C0AF9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50AC0BB9"/>
    <w:multiLevelType w:val="hybridMultilevel"/>
    <w:tmpl w:val="B0FE90DC"/>
    <w:lvl w:ilvl="0" w:tplc="CC16E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934E1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8C12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254E4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7CBA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4AF2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C263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1653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81624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621F1006"/>
    <w:multiLevelType w:val="multilevel"/>
    <w:tmpl w:val="BBB6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D"/>
    <w:rsid w:val="002676A5"/>
    <w:rsid w:val="0054344D"/>
    <w:rsid w:val="00650C5B"/>
    <w:rsid w:val="00896516"/>
    <w:rsid w:val="009B0D8D"/>
    <w:rsid w:val="00A13513"/>
    <w:rsid w:val="00A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4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4344D"/>
    <w:pPr>
      <w:spacing w:after="0" w:line="240" w:lineRule="auto"/>
    </w:pPr>
    <w:rPr>
      <w:sz w:val="24"/>
      <w:szCs w:val="24"/>
    </w:rPr>
    <w:tblPr>
      <w:tblCellMar>
        <w:left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54344D"/>
    <w:rPr>
      <w:vertAlign w:val="superscript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4344D"/>
    <w:pPr>
      <w:spacing w:after="0" w:line="240" w:lineRule="auto"/>
    </w:pPr>
    <w:rPr>
      <w:rFonts w:ascii="Arial" w:hAnsi="Arial"/>
      <w:color w:val="231F2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4344D"/>
    <w:rPr>
      <w:rFonts w:ascii="Arial" w:hAnsi="Arial"/>
      <w:color w:val="231F20"/>
      <w:sz w:val="20"/>
      <w:szCs w:val="20"/>
      <w:lang w:val="en-GB"/>
    </w:rPr>
  </w:style>
  <w:style w:type="character" w:customStyle="1" w:styleId="Hyperlink1">
    <w:name w:val="Hyperlink1"/>
    <w:basedOn w:val="DefaultParagraphFont"/>
    <w:uiPriority w:val="99"/>
    <w:unhideWhenUsed/>
    <w:rsid w:val="0054344D"/>
    <w:rPr>
      <w:color w:val="0070C0"/>
      <w:u w:val="single"/>
    </w:rPr>
  </w:style>
  <w:style w:type="table" w:customStyle="1" w:styleId="NHSHighlightBox">
    <w:name w:val="NHS Highlight Box"/>
    <w:basedOn w:val="TableNormal"/>
    <w:uiPriority w:val="99"/>
    <w:rsid w:val="0054344D"/>
    <w:pPr>
      <w:spacing w:after="0" w:line="240" w:lineRule="auto"/>
    </w:pPr>
    <w:rPr>
      <w:rFonts w:ascii="Times New Roman" w:hAnsi="Times New Roman"/>
      <w:sz w:val="24"/>
      <w:szCs w:val="24"/>
      <w:lang w:val="id-ID"/>
    </w:r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styleId="TableGrid">
    <w:name w:val="Table Grid"/>
    <w:basedOn w:val="TableNormal"/>
    <w:uiPriority w:val="39"/>
    <w:rsid w:val="0054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54344D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4344D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434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4344D"/>
    <w:pPr>
      <w:spacing w:after="0" w:line="240" w:lineRule="auto"/>
    </w:pPr>
    <w:rPr>
      <w:sz w:val="24"/>
      <w:szCs w:val="24"/>
    </w:rPr>
    <w:tblPr>
      <w:tblCellMar>
        <w:left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54344D"/>
    <w:rPr>
      <w:vertAlign w:val="superscript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4344D"/>
    <w:pPr>
      <w:spacing w:after="0" w:line="240" w:lineRule="auto"/>
    </w:pPr>
    <w:rPr>
      <w:rFonts w:ascii="Arial" w:hAnsi="Arial"/>
      <w:color w:val="231F2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4344D"/>
    <w:rPr>
      <w:rFonts w:ascii="Arial" w:hAnsi="Arial"/>
      <w:color w:val="231F20"/>
      <w:sz w:val="20"/>
      <w:szCs w:val="20"/>
      <w:lang w:val="en-GB"/>
    </w:rPr>
  </w:style>
  <w:style w:type="character" w:customStyle="1" w:styleId="Hyperlink1">
    <w:name w:val="Hyperlink1"/>
    <w:basedOn w:val="DefaultParagraphFont"/>
    <w:uiPriority w:val="99"/>
    <w:unhideWhenUsed/>
    <w:rsid w:val="0054344D"/>
    <w:rPr>
      <w:color w:val="0070C0"/>
      <w:u w:val="single"/>
    </w:rPr>
  </w:style>
  <w:style w:type="table" w:customStyle="1" w:styleId="NHSHighlightBox">
    <w:name w:val="NHS Highlight Box"/>
    <w:basedOn w:val="TableNormal"/>
    <w:uiPriority w:val="99"/>
    <w:rsid w:val="0054344D"/>
    <w:pPr>
      <w:spacing w:after="0" w:line="240" w:lineRule="auto"/>
    </w:pPr>
    <w:rPr>
      <w:rFonts w:ascii="Times New Roman" w:hAnsi="Times New Roman"/>
      <w:sz w:val="24"/>
      <w:szCs w:val="24"/>
      <w:lang w:val="id-ID"/>
    </w:r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styleId="TableGrid">
    <w:name w:val="Table Grid"/>
    <w:basedOn w:val="TableNormal"/>
    <w:uiPriority w:val="39"/>
    <w:rsid w:val="0054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54344D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4344D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43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2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43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Franchelle Scorgie</dc:creator>
  <cp:lastModifiedBy>Rebecca Hawtin</cp:lastModifiedBy>
  <cp:revision>1</cp:revision>
  <dcterms:created xsi:type="dcterms:W3CDTF">2021-07-30T10:39:00Z</dcterms:created>
  <dcterms:modified xsi:type="dcterms:W3CDTF">2021-07-30T10:39:00Z</dcterms:modified>
</cp:coreProperties>
</file>