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A1" w:rsidRPr="001040A1" w:rsidRDefault="00CB36A2" w:rsidP="001040A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4C8BD6AC" wp14:editId="2BB76C43">
            <wp:simplePos x="0" y="0"/>
            <wp:positionH relativeFrom="column">
              <wp:posOffset>5457825</wp:posOffset>
            </wp:positionH>
            <wp:positionV relativeFrom="paragraph">
              <wp:posOffset>-276225</wp:posOffset>
            </wp:positionV>
            <wp:extent cx="1295400" cy="606425"/>
            <wp:effectExtent l="0" t="0" r="0" b="3175"/>
            <wp:wrapTight wrapText="bothSides">
              <wp:wrapPolygon edited="0">
                <wp:start x="0" y="0"/>
                <wp:lineTo x="0" y="21035"/>
                <wp:lineTo x="21282" y="21035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isbury NHS Foundation Trust RGB BLACK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0A1"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 xml:space="preserve">Eye Referral </w:t>
      </w:r>
      <w:proofErr w:type="spellStart"/>
      <w:r w:rsidR="001040A1"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Proforma</w:t>
      </w:r>
      <w:proofErr w:type="spellEnd"/>
    </w:p>
    <w:p w:rsidR="00CB36A2" w:rsidRDefault="001040A1" w:rsidP="00CB36A2">
      <w:pPr>
        <w:shd w:val="clear" w:color="auto" w:fill="FFFFFF"/>
        <w:spacing w:before="120" w:after="120" w:line="240" w:lineRule="auto"/>
        <w:ind w:left="3600" w:hanging="3600"/>
        <w:rPr>
          <w:rFonts w:ascii="Arial" w:eastAsia="Times New Roman" w:hAnsi="Arial" w:cs="Arial"/>
          <w:i/>
          <w:iCs/>
          <w:color w:val="333333"/>
          <w:sz w:val="18"/>
          <w:szCs w:val="18"/>
          <w:lang w:eastAsia="en-GB"/>
        </w:rPr>
      </w:pPr>
      <w:r w:rsidRPr="001040A1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GB"/>
        </w:rPr>
        <w:t>Please complete for </w:t>
      </w:r>
      <w:r w:rsidRPr="001040A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en-GB"/>
        </w:rPr>
        <w:t>ALL</w:t>
      </w:r>
      <w:r w:rsidRPr="001040A1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GB"/>
        </w:rPr>
        <w:t> non-emergency referral</w:t>
      </w:r>
      <w:r w:rsidR="00CB36A2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GB"/>
        </w:rPr>
        <w:t xml:space="preserve">s to acute ophthalmology clinic 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ind w:left="3600" w:hanging="360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GB"/>
        </w:rPr>
        <w:t>Email: </w:t>
      </w:r>
      <w:hyperlink r:id="rId6" w:history="1">
        <w:r w:rsidRPr="001040A1">
          <w:rPr>
            <w:rFonts w:ascii="Arial" w:eastAsia="Times New Roman" w:hAnsi="Arial" w:cs="Arial"/>
            <w:color w:val="005EB8"/>
            <w:sz w:val="18"/>
            <w:szCs w:val="18"/>
            <w:lang w:eastAsia="en-GB"/>
          </w:rPr>
          <w:t>Sft.ophthalmologyadvice@nhs.net</w:t>
        </w:r>
      </w:hyperlink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Ophthalmology Triage Guidance is available on </w:t>
      </w:r>
      <w:proofErr w:type="spell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Microguide</w:t>
      </w:r>
      <w:proofErr w:type="spell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under ‘Adult Surgery’ – please consult this prior to completing this form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Patient Name:   </w:t>
      </w: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                                            </w:t>
      </w: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 Hospital Number:   </w:t>
      </w: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                          </w:t>
      </w: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  Patient Tel: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</w:t>
      </w:r>
    </w:p>
    <w:p w:rsidR="001040A1" w:rsidRPr="001040A1" w:rsidRDefault="001040A1" w:rsidP="001040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proofErr w:type="gramStart"/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Presenting complaint:</w:t>
      </w: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(</w:t>
      </w:r>
      <w:proofErr w:type="spell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e.g</w:t>
      </w:r>
      <w:proofErr w:type="spell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red eye, discharge, sudden painless loss of vision etc.)</w:t>
      </w:r>
      <w:proofErr w:type="gramEnd"/>
    </w:p>
    <w:p w:rsidR="001040A1" w:rsidRPr="001040A1" w:rsidRDefault="001040A1" w:rsidP="001040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</w:t>
      </w:r>
    </w:p>
    <w:p w:rsidR="001040A1" w:rsidRPr="001040A1" w:rsidRDefault="001040A1" w:rsidP="001040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History presenting complaint:</w:t>
      </w: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(duration, character of pain, relieving/exacerbating factors)</w:t>
      </w:r>
    </w:p>
    <w:p w:rsidR="001040A1" w:rsidRPr="001040A1" w:rsidRDefault="001040A1" w:rsidP="001040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</w:t>
      </w:r>
    </w:p>
    <w:p w:rsidR="001040A1" w:rsidRDefault="001040A1" w:rsidP="0010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Past ocular history:</w:t>
      </w: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(</w:t>
      </w:r>
      <w:proofErr w:type="spell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e.g</w:t>
      </w:r>
      <w:proofErr w:type="spell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seen in eye clinic? drops? eye surgery including intra-</w:t>
      </w:r>
      <w:proofErr w:type="spell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vitreal</w:t>
      </w:r>
      <w:proofErr w:type="spell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injections?)</w:t>
      </w:r>
    </w:p>
    <w:p w:rsidR="00CB36A2" w:rsidRDefault="00CB36A2" w:rsidP="0010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</w:p>
    <w:p w:rsidR="00CB36A2" w:rsidRPr="001040A1" w:rsidRDefault="00CB36A2" w:rsidP="001040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pPr w:leftFromText="45" w:rightFromText="45" w:bottomFromText="300" w:vertAnchor="text"/>
        <w:tblW w:w="81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111"/>
      </w:tblGrid>
      <w:tr w:rsidR="001040A1" w:rsidRPr="001040A1" w:rsidTr="00CB36A2">
        <w:trPr>
          <w:trHeight w:val="41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Right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Left</w:t>
            </w:r>
          </w:p>
        </w:tc>
      </w:tr>
      <w:tr w:rsidR="001040A1" w:rsidRPr="001040A1" w:rsidTr="00CB36A2">
        <w:trPr>
          <w:trHeight w:val="6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Visual Acuity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Visual Acuity</w:t>
            </w:r>
          </w:p>
        </w:tc>
      </w:tr>
      <w:tr w:rsidR="001040A1" w:rsidRPr="001040A1" w:rsidTr="00CB36A2">
        <w:trPr>
          <w:trHeight w:val="481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Intra-ocular Pressure (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iCare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tonometer)</w:t>
            </w:r>
          </w:p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Intra-ocular Pressure (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iCare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tonometer)</w:t>
            </w:r>
          </w:p>
        </w:tc>
      </w:tr>
      <w:tr w:rsidR="001040A1" w:rsidRPr="001040A1" w:rsidTr="00CB36A2">
        <w:trPr>
          <w:trHeight w:val="2479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Lids swollen?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Lids red?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Conjunctiva red?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Eye Movements full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Double vision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 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Monocular/Binocular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?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PERLA?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Lids swollen?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Lids red? 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Conjunctiva red?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Eye Movements full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Double vision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 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Monocular/Binocular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?</w:t>
            </w:r>
          </w:p>
          <w:p w:rsidR="001040A1" w:rsidRPr="001040A1" w:rsidRDefault="001040A1" w:rsidP="001040A1">
            <w:pPr>
              <w:spacing w:after="0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PERLA?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</w:tr>
      <w:tr w:rsidR="001040A1" w:rsidRPr="001040A1" w:rsidTr="00CB36A2">
        <w:trPr>
          <w:trHeight w:val="153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Examination of eye surface: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Examination of eye surface:</w:t>
            </w:r>
          </w:p>
        </w:tc>
      </w:tr>
      <w:tr w:rsidR="001040A1" w:rsidRPr="001040A1" w:rsidTr="00CB36A2">
        <w:trPr>
          <w:trHeight w:val="88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Pain improves with anaesthetic drops?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 xml:space="preserve">e.g. </w:t>
            </w:r>
            <w:proofErr w:type="spellStart"/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proxymetacaine</w:t>
            </w:r>
            <w:proofErr w:type="spellEnd"/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/</w:t>
            </w:r>
            <w:proofErr w:type="spellStart"/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oxybuprocaine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Pain improves with anaesthetic drops? (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yes/no</w:t>
            </w: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  <w:p w:rsidR="001040A1" w:rsidRPr="001040A1" w:rsidRDefault="001040A1" w:rsidP="001040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 xml:space="preserve">e.g. </w:t>
            </w:r>
            <w:proofErr w:type="spellStart"/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proxymetacaine</w:t>
            </w:r>
            <w:proofErr w:type="spellEnd"/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/</w:t>
            </w:r>
            <w:proofErr w:type="spellStart"/>
            <w:r w:rsidRPr="001040A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oxybuprocaine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</w:tr>
    </w:tbl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:rsidR="007E6617" w:rsidRDefault="007E6617" w:rsidP="001040A1">
      <w:pPr>
        <w:shd w:val="clear" w:color="auto" w:fill="FFFFFF"/>
        <w:spacing w:before="240" w:line="31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  <w:bookmarkStart w:id="0" w:name="_GoBack"/>
      <w:bookmarkEnd w:id="0"/>
    </w:p>
    <w:p w:rsidR="001040A1" w:rsidRPr="001040A1" w:rsidRDefault="001040A1" w:rsidP="001040A1">
      <w:pPr>
        <w:shd w:val="clear" w:color="auto" w:fill="FFFFFF"/>
        <w:spacing w:before="240" w:line="315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Suspected diagnosis requiring urgent review</w:t>
      </w:r>
      <w:proofErr w:type="gram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:_</w:t>
      </w:r>
      <w:proofErr w:type="gram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_________________________</w:t>
      </w:r>
    </w:p>
    <w:p w:rsidR="001040A1" w:rsidRPr="001040A1" w:rsidRDefault="001040A1" w:rsidP="001040A1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Tests/investigations done (</w:t>
      </w:r>
      <w:proofErr w:type="spell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e.g.bloods</w:t>
      </w:r>
      <w:proofErr w:type="spell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):                                                                      Treatment started:</w:t>
      </w:r>
    </w:p>
    <w:p w:rsidR="001040A1" w:rsidRPr="001040A1" w:rsidRDefault="001040A1" w:rsidP="001040A1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Advice given to patient:</w:t>
      </w:r>
    </w:p>
    <w:p w:rsidR="001040A1" w:rsidRPr="001040A1" w:rsidRDefault="001040A1" w:rsidP="00CB36A2">
      <w:pPr>
        <w:shd w:val="clear" w:color="auto" w:fill="FFFFFF"/>
        <w:spacing w:before="120" w:after="120" w:line="315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Referrer Name:                                              Position:                                             Contact number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COVID19 Ophthalmology cover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 consultant delivered service, out of the eye clinic, will run 8am-8pm via bleep 1625 until 5pm and via switchboard 5-8pm.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Between 5pm-8pm we may need to see patients within ED and will advise when contacted.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IF THE BLEEP ISN’T ANSWERED PLEASE CALL THE CONSULTANT ON THEIR MOBILE NUMBER VIA SWITCHBOARD.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From 8pm-8am please assess and refer patients as per the below guidance. However, we are happy for you to treat any obvious problems – our </w:t>
      </w:r>
      <w:proofErr w:type="spellStart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Microguide</w:t>
      </w:r>
      <w:proofErr w:type="spellEnd"/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pages cover the management of the vast majority of conditions you may see.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For GCA suspects, please send inflammatory markers in advance and please be available to cannulate and prescribe IV acetazolamide for angle closure patients.</w:t>
      </w:r>
    </w:p>
    <w:p w:rsidR="001040A1" w:rsidRPr="001040A1" w:rsidRDefault="001040A1" w:rsidP="00CB36A2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Having referred to the matrix below please complete the form overleaf</w:t>
      </w: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.  Advise the patient to expect a phone call within 48 hours. Manage pain with analgesia.</w:t>
      </w:r>
    </w:p>
    <w:tbl>
      <w:tblPr>
        <w:tblpPr w:leftFromText="45" w:rightFromText="45" w:bottomFromText="300" w:vertAnchor="text"/>
        <w:tblW w:w="98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409"/>
        <w:gridCol w:w="2127"/>
        <w:gridCol w:w="1842"/>
        <w:gridCol w:w="1843"/>
      </w:tblGrid>
      <w:tr w:rsidR="007E6617" w:rsidRPr="001040A1" w:rsidTr="007E6617">
        <w:trPr>
          <w:trHeight w:val="799"/>
        </w:trPr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lastRenderedPageBreak/>
              <w:t>Urgency for discussion with Ophthalmology-&gt;</w:t>
            </w:r>
          </w:p>
        </w:tc>
        <w:tc>
          <w:tcPr>
            <w:tcW w:w="2409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Same session</w:t>
            </w:r>
          </w:p>
        </w:tc>
        <w:tc>
          <w:tcPr>
            <w:tcW w:w="2127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Refer</w:t>
            </w:r>
          </w:p>
        </w:tc>
        <w:tc>
          <w:tcPr>
            <w:tcW w:w="1842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Advise to see optician</w:t>
            </w:r>
          </w:p>
        </w:tc>
        <w:tc>
          <w:tcPr>
            <w:tcW w:w="1843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Refer elsewhere/re-direct</w:t>
            </w:r>
          </w:p>
        </w:tc>
      </w:tr>
      <w:tr w:rsidR="007E6617" w:rsidRPr="001040A1" w:rsidTr="007E6617">
        <w:trPr>
          <w:trHeight w:val="1051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Trauma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Chemical burn (only after irrigation and normal pH), penetrating injury or rupture, confirmed intra-ocular foreign body, severe proptosis (?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retrobulbar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haemorrhage),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Diplopia.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Blunt trauma with significant ocular pain or symptomatic vision loss, suspected intra-ocular foreign body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E6617" w:rsidRPr="001040A1" w:rsidTr="007E6617">
        <w:trPr>
          <w:trHeight w:val="1374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Red eyes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Unresponsive mid-dilated pupil (</w:t>
            </w:r>
            <w:proofErr w:type="gram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?angle</w:t>
            </w:r>
            <w:proofErr w:type="gram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closure glaucoma), less than 4 weeks post op with worsened vision (?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Endophthalmitis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).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Red eye in adult patient systemically unwell/off legs with headache (</w:t>
            </w:r>
            <w:proofErr w:type="gram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?angle</w:t>
            </w:r>
            <w:proofErr w:type="gram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closure glaucoma</w:t>
            </w:r>
            <w:r w:rsidRPr="001040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Corneal ulcer (white patch on cornea that stains after fluorescein), severe pain, irregular pupil, history uveitis,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hyphaema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(blood in anterior chamber), vision loss (better than 6/60).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E6617" w:rsidRPr="001040A1" w:rsidTr="007E6617">
        <w:trPr>
          <w:trHeight w:val="948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Vision loss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Significant vision loss with suspected GCA and raised inflammatory markers, mid-dilated unresponsive pupil in red eye with pain (</w:t>
            </w:r>
            <w:proofErr w:type="gram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?angle</w:t>
            </w:r>
            <w:proofErr w:type="gram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closure glaucoma).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Significant loss with pain.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Visual field loss with no other neurological symptoms.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7E6617" w:rsidRPr="001040A1" w:rsidTr="007E6617">
        <w:trPr>
          <w:trHeight w:val="66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6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Cornea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6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Corneal graft with reduced vision or pain Corneal ulcer (white patch on cornea that stains after fluorescein), Dendritic ulcer on treatment. Foreign body persistent despite attempted removal.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6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6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</w:tbl>
    <w:tbl>
      <w:tblPr>
        <w:tblW w:w="98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409"/>
        <w:gridCol w:w="2127"/>
        <w:gridCol w:w="1842"/>
        <w:gridCol w:w="1843"/>
      </w:tblGrid>
      <w:tr w:rsidR="001040A1" w:rsidRPr="001040A1" w:rsidTr="007E6617">
        <w:trPr>
          <w:trHeight w:val="1349"/>
        </w:trPr>
        <w:tc>
          <w:tcPr>
            <w:tcW w:w="1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Eyelids/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orbit</w:t>
            </w:r>
          </w:p>
        </w:tc>
        <w:tc>
          <w:tcPr>
            <w:tcW w:w="2409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Unwell patient with acute severe swelling (cellulitis) with reduced ocular movements and proptosis (? Orbital cellulitis or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retrobulbar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haemorrhage).</w:t>
            </w:r>
          </w:p>
        </w:tc>
        <w:tc>
          <w:tcPr>
            <w:tcW w:w="2127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Lid swelling with normal movements, pupils and no proptosis (treat as pre-septal cellulitis). Increasing proptosis. Eyelid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lacerations.Sudden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onset ptosis.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Herpes zoster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ophthalmicus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(treat with high does oral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aciclovir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Acute facial palsy – re-direct to ENT.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Orbital fractures – re-direct to OMFS</w:t>
            </w:r>
          </w:p>
        </w:tc>
      </w:tr>
      <w:tr w:rsidR="001040A1" w:rsidRPr="001040A1" w:rsidTr="007E6617">
        <w:trPr>
          <w:trHeight w:val="631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IOP (Eye pressure)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IOP &gt;35 with vision loss, pupil change or inflammation.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IOP &gt;35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040A1" w:rsidRPr="001040A1" w:rsidTr="007E6617">
        <w:trPr>
          <w:trHeight w:val="451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EOM (Eye movements)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Acute diplopia with GCA symptoms and raised inflammatory markers.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Acute diplopia with painful eye movements, pupil change or headache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040A1" w:rsidRPr="001040A1" w:rsidTr="007E6617">
        <w:trPr>
          <w:trHeight w:val="1368"/>
        </w:trPr>
        <w:tc>
          <w:tcPr>
            <w:tcW w:w="16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Visual disturbance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Significant loss less than 4 weeks post op (any surgery) or with GCA symptoms and raised inflammatory markers.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New onset floaters and flashes with visual field loss or high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myope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or previous retinal detachment or recent trauma.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3" w:type="dxa"/>
              <w:left w:w="83" w:type="dxa"/>
              <w:bottom w:w="23" w:type="dxa"/>
              <w:right w:w="83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 else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Amaurosis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fugax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probable hemianopia /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quadrantanopia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– Re-direct to Stroke </w:t>
            </w:r>
            <w:proofErr w:type="spellStart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SpR</w:t>
            </w:r>
            <w:proofErr w:type="spellEnd"/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/ On-call Medics / Rapid Access TIA Clinic</w:t>
            </w:r>
          </w:p>
          <w:p w:rsidR="001040A1" w:rsidRPr="001040A1" w:rsidRDefault="001040A1" w:rsidP="001040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040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Features of migraine - GP</w:t>
            </w:r>
          </w:p>
        </w:tc>
      </w:tr>
    </w:tbl>
    <w:p w:rsidR="001040A1" w:rsidRPr="001040A1" w:rsidRDefault="001040A1" w:rsidP="001040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1040A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</w:t>
      </w:r>
    </w:p>
    <w:p w:rsidR="00240DC6" w:rsidRDefault="00CB36A2"/>
    <w:sectPr w:rsidR="00240DC6" w:rsidSect="007E6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A1"/>
    <w:rsid w:val="001040A1"/>
    <w:rsid w:val="00346908"/>
    <w:rsid w:val="00656F8C"/>
    <w:rsid w:val="007C19CD"/>
    <w:rsid w:val="007E6617"/>
    <w:rsid w:val="00831AE0"/>
    <w:rsid w:val="00C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F8C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color w:val="1F497D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6F8C"/>
    <w:rPr>
      <w:rFonts w:ascii="Arial" w:eastAsiaTheme="majorEastAsia" w:hAnsi="Arial" w:cstheme="majorBidi"/>
      <w:b/>
      <w:bCs/>
      <w:iCs/>
      <w:color w:val="1F497D" w:themeColor="text2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56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10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40A1"/>
    <w:rPr>
      <w:b/>
      <w:bCs/>
    </w:rPr>
  </w:style>
  <w:style w:type="character" w:styleId="Emphasis">
    <w:name w:val="Emphasis"/>
    <w:basedOn w:val="DefaultParagraphFont"/>
    <w:uiPriority w:val="20"/>
    <w:qFormat/>
    <w:rsid w:val="001040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4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F8C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color w:val="1F497D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6F8C"/>
    <w:rPr>
      <w:rFonts w:ascii="Arial" w:eastAsiaTheme="majorEastAsia" w:hAnsi="Arial" w:cstheme="majorBidi"/>
      <w:b/>
      <w:bCs/>
      <w:iCs/>
      <w:color w:val="1F497D" w:themeColor="text2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56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10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40A1"/>
    <w:rPr>
      <w:b/>
      <w:bCs/>
    </w:rPr>
  </w:style>
  <w:style w:type="character" w:styleId="Emphasis">
    <w:name w:val="Emphasis"/>
    <w:basedOn w:val="DefaultParagraphFont"/>
    <w:uiPriority w:val="20"/>
    <w:qFormat/>
    <w:rsid w:val="001040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4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t.ophthalmologyadvice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D8356DAD</Template>
  <TotalTime>0</TotalTime>
  <Pages>2</Pages>
  <Words>761</Words>
  <Characters>4339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Glaister</dc:creator>
  <cp:lastModifiedBy>Katrina Glaister</cp:lastModifiedBy>
  <cp:revision>2</cp:revision>
  <dcterms:created xsi:type="dcterms:W3CDTF">2021-08-19T10:06:00Z</dcterms:created>
  <dcterms:modified xsi:type="dcterms:W3CDTF">2021-08-19T10:06:00Z</dcterms:modified>
</cp:coreProperties>
</file>