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D02F6" w14:textId="37DB5978" w:rsidR="00490904" w:rsidRPr="00F94BC6" w:rsidRDefault="007C5D42" w:rsidP="00DA662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object w:dxaOrig="1440" w:dyaOrig="1440" w14:anchorId="19B6AF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7.05pt;margin-top:-8.9pt;width:138pt;height:33.1pt;z-index:251658240">
            <v:imagedata r:id="rId5" o:title=""/>
            <w10:wrap type="topAndBottom"/>
          </v:shape>
          <o:OLEObject Type="Embed" ProgID="Imaging.Document" ShapeID="_x0000_s1026" DrawAspect="Content" ObjectID="_1725862714" r:id="rId6"/>
        </w:object>
      </w:r>
      <w:r w:rsidR="00671BFE" w:rsidRPr="00F94BC6">
        <w:rPr>
          <w:b/>
          <w:bCs/>
          <w:sz w:val="32"/>
          <w:szCs w:val="32"/>
        </w:rPr>
        <w:t>New Mouth Care Equipment</w:t>
      </w: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3828"/>
        <w:gridCol w:w="7512"/>
      </w:tblGrid>
      <w:tr w:rsidR="00723157" w14:paraId="76377693" w14:textId="77777777" w:rsidTr="00DA6625">
        <w:tc>
          <w:tcPr>
            <w:tcW w:w="3828" w:type="dxa"/>
          </w:tcPr>
          <w:p w14:paraId="71AB77E8" w14:textId="08B0FE71" w:rsidR="002120F2" w:rsidRPr="002120F2" w:rsidRDefault="002120F2" w:rsidP="002120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14742912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Reusable </w:t>
            </w:r>
            <w:r w:rsidRPr="002120F2">
              <w:rPr>
                <w:rFonts w:ascii="Arial" w:hAnsi="Arial" w:cs="Arial"/>
                <w:b/>
                <w:bCs/>
                <w:sz w:val="24"/>
                <w:szCs w:val="24"/>
              </w:rPr>
              <w:t>Oralieve 360 Toothbrush</w:t>
            </w:r>
          </w:p>
          <w:p w14:paraId="5DCF8DCA" w14:textId="13EC775A" w:rsidR="00723157" w:rsidRDefault="00723157" w:rsidP="00C06F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B587AC" wp14:editId="557E9290">
                  <wp:extent cx="1857263" cy="19157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80" t="18077" r="84391" b="55902"/>
                          <a:stretch/>
                        </pic:blipFill>
                        <pic:spPr bwMode="auto">
                          <a:xfrm>
                            <a:off x="0" y="0"/>
                            <a:ext cx="1894730" cy="195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6A835D04" w14:textId="77777777" w:rsidR="00723157" w:rsidRPr="00DA6625" w:rsidRDefault="00723157" w:rsidP="00671BFE">
            <w:r w:rsidRPr="00F94BC6">
              <w:rPr>
                <w:sz w:val="20"/>
                <w:szCs w:val="20"/>
              </w:rPr>
              <w:t xml:space="preserve">For use with patients who have complex oral health needs or those who are receiving </w:t>
            </w:r>
            <w:r w:rsidRPr="00DA6625">
              <w:t>EOLC</w:t>
            </w:r>
          </w:p>
          <w:p w14:paraId="61900D5D" w14:textId="571469A7" w:rsidR="00723157" w:rsidRPr="00DA6625" w:rsidRDefault="00723157" w:rsidP="00C06F77">
            <w:pPr>
              <w:pStyle w:val="ListParagraph"/>
              <w:numPr>
                <w:ilvl w:val="0"/>
                <w:numId w:val="1"/>
              </w:numPr>
              <w:ind w:left="201" w:hanging="142"/>
            </w:pPr>
            <w:r w:rsidRPr="00DA6625">
              <w:t xml:space="preserve">360 </w:t>
            </w:r>
            <w:r w:rsidR="00C06F77" w:rsidRPr="00DA6625">
              <w:t xml:space="preserve">soft </w:t>
            </w:r>
            <w:r w:rsidRPr="00DA6625">
              <w:t xml:space="preserve">bristles </w:t>
            </w:r>
            <w:r w:rsidRPr="002120F2">
              <w:rPr>
                <w:b/>
                <w:bCs/>
              </w:rPr>
              <w:t>clean multiple surfaces</w:t>
            </w:r>
            <w:r w:rsidRPr="00DA6625">
              <w:t xml:space="preserve"> of the mouth simultaneously</w:t>
            </w:r>
            <w:r w:rsidR="00C06F77" w:rsidRPr="00DA6625">
              <w:t xml:space="preserve"> providing a gentle clean to sore mouths</w:t>
            </w:r>
          </w:p>
          <w:p w14:paraId="542D1CF0" w14:textId="77777777" w:rsidR="00723157" w:rsidRPr="00DA6625" w:rsidRDefault="00723157" w:rsidP="00C06F77">
            <w:pPr>
              <w:pStyle w:val="ListParagraph"/>
              <w:numPr>
                <w:ilvl w:val="0"/>
                <w:numId w:val="1"/>
              </w:numPr>
              <w:ind w:left="201" w:hanging="142"/>
            </w:pPr>
            <w:r w:rsidRPr="00DA6625">
              <w:t xml:space="preserve">A </w:t>
            </w:r>
            <w:r w:rsidRPr="002120F2">
              <w:rPr>
                <w:b/>
                <w:bCs/>
              </w:rPr>
              <w:t>small head</w:t>
            </w:r>
            <w:r w:rsidRPr="00DA6625">
              <w:t xml:space="preserve"> to access hard to reach areas of the mouth</w:t>
            </w:r>
          </w:p>
          <w:p w14:paraId="6C5EA9A2" w14:textId="77777777" w:rsidR="00723157" w:rsidRPr="00DA6625" w:rsidRDefault="00723157" w:rsidP="00C06F77">
            <w:pPr>
              <w:pStyle w:val="ListParagraph"/>
              <w:numPr>
                <w:ilvl w:val="0"/>
                <w:numId w:val="1"/>
              </w:numPr>
              <w:ind w:left="201" w:hanging="142"/>
            </w:pPr>
            <w:r w:rsidRPr="00DA6625">
              <w:t xml:space="preserve">Can be dipped in water </w:t>
            </w:r>
            <w:r w:rsidRPr="002120F2">
              <w:rPr>
                <w:b/>
                <w:bCs/>
              </w:rPr>
              <w:t>to deliver moisture to the mouth</w:t>
            </w:r>
            <w:r w:rsidRPr="00DA6625">
              <w:t xml:space="preserve"> or tastes for pleasure</w:t>
            </w:r>
          </w:p>
          <w:p w14:paraId="4DC75BFB" w14:textId="5CEA86BC" w:rsidR="00723157" w:rsidRPr="00DA6625" w:rsidRDefault="00723157" w:rsidP="00C06F77">
            <w:pPr>
              <w:pStyle w:val="ListParagraph"/>
              <w:numPr>
                <w:ilvl w:val="0"/>
                <w:numId w:val="1"/>
              </w:numPr>
              <w:ind w:left="201" w:hanging="142"/>
            </w:pPr>
            <w:r w:rsidRPr="00DA6625">
              <w:t xml:space="preserve">Can be used to </w:t>
            </w:r>
            <w:r w:rsidRPr="002120F2">
              <w:rPr>
                <w:b/>
                <w:bCs/>
              </w:rPr>
              <w:t>deliver mouth moisturising gel</w:t>
            </w:r>
            <w:r w:rsidRPr="00DA6625">
              <w:t xml:space="preserve"> to the tongue, </w:t>
            </w:r>
            <w:r w:rsidR="007C5D42" w:rsidRPr="00DA6625">
              <w:t>cheeks,</w:t>
            </w:r>
            <w:r w:rsidRPr="00DA6625">
              <w:t xml:space="preserve"> and roof of the mouth</w:t>
            </w:r>
          </w:p>
          <w:p w14:paraId="1D6F351D" w14:textId="77777777" w:rsidR="00723157" w:rsidRPr="00DA6625" w:rsidRDefault="00723157" w:rsidP="00671BFE"/>
          <w:p w14:paraId="7472A6A7" w14:textId="078640F6" w:rsidR="00723157" w:rsidRPr="00DA6625" w:rsidRDefault="00723157" w:rsidP="00671BFE">
            <w:r w:rsidRPr="00DA6625">
              <w:t>Directions:</w:t>
            </w:r>
            <w:r w:rsidR="00FD1B47">
              <w:t xml:space="preserve"> </w:t>
            </w:r>
            <w:r w:rsidRPr="00DA6625">
              <w:t xml:space="preserve">Move the brush up and down in the mouth like a standard toothbrush.  Rinse clean </w:t>
            </w:r>
            <w:r w:rsidR="002120F2">
              <w:t xml:space="preserve">with water </w:t>
            </w:r>
            <w:r w:rsidRPr="00DA6625">
              <w:t>after use.</w:t>
            </w:r>
            <w:r w:rsidR="002120F2">
              <w:t xml:space="preserve">  Dry with paper towel and store in original packaging.</w:t>
            </w:r>
            <w:r w:rsidRPr="00DA6625">
              <w:t xml:space="preserve">  </w:t>
            </w:r>
          </w:p>
          <w:p w14:paraId="301EAFA3" w14:textId="77777777" w:rsidR="00DA6625" w:rsidRDefault="00723157" w:rsidP="00671BFE">
            <w:r w:rsidRPr="002120F2">
              <w:rPr>
                <w:b/>
                <w:bCs/>
              </w:rPr>
              <w:t>Replace after three months</w:t>
            </w:r>
            <w:r w:rsidRPr="00DA6625">
              <w:t xml:space="preserve"> or if the head is showing signs of wear or rotates.</w:t>
            </w:r>
            <w:r>
              <w:t xml:space="preserve"> </w:t>
            </w:r>
          </w:p>
          <w:p w14:paraId="7E7F56F2" w14:textId="1FFFB710" w:rsidR="00FD1B47" w:rsidRDefault="00FD1B47" w:rsidP="00671BFE"/>
        </w:tc>
      </w:tr>
      <w:tr w:rsidR="00723157" w14:paraId="1C0540B9" w14:textId="77777777" w:rsidTr="00DA6625">
        <w:tc>
          <w:tcPr>
            <w:tcW w:w="3828" w:type="dxa"/>
          </w:tcPr>
          <w:p w14:paraId="4BAE05F4" w14:textId="123A8BEF" w:rsidR="00723157" w:rsidRPr="00723157" w:rsidRDefault="001B0755" w:rsidP="00671B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Single Use </w:t>
            </w:r>
            <w:r w:rsidR="00723157" w:rsidRPr="00723157">
              <w:rPr>
                <w:rFonts w:ascii="Arial" w:hAnsi="Arial" w:cs="Arial"/>
                <w:b/>
                <w:bCs/>
                <w:sz w:val="24"/>
                <w:szCs w:val="24"/>
              </w:rPr>
              <w:t>Sage Mouth Swab</w:t>
            </w:r>
          </w:p>
          <w:p w14:paraId="3B0B91E0" w14:textId="78691184" w:rsidR="00723157" w:rsidRDefault="00723157" w:rsidP="00671BFE"/>
          <w:p w14:paraId="71D1DBAD" w14:textId="7102CE66" w:rsidR="00723157" w:rsidRDefault="00723157" w:rsidP="00C06F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B50A35" wp14:editId="42551527">
                  <wp:extent cx="1410411" cy="1800225"/>
                  <wp:effectExtent l="0" t="0" r="0" b="0"/>
                  <wp:docPr id="4" name="Picture 4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, letter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7" r="14981" b="4869"/>
                          <a:stretch/>
                        </pic:blipFill>
                        <pic:spPr bwMode="auto">
                          <a:xfrm>
                            <a:off x="0" y="0"/>
                            <a:ext cx="1446714" cy="1846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CCDE90" w14:textId="054C259C" w:rsidR="00723157" w:rsidRDefault="00723157" w:rsidP="00671BFE"/>
        </w:tc>
        <w:tc>
          <w:tcPr>
            <w:tcW w:w="7512" w:type="dxa"/>
          </w:tcPr>
          <w:p w14:paraId="59D47B6D" w14:textId="77777777" w:rsidR="001B0755" w:rsidRPr="00DA6625" w:rsidRDefault="001B0755" w:rsidP="001B0755">
            <w:r w:rsidRPr="00DA6625">
              <w:t>Single Use individual mouth swabs:</w:t>
            </w:r>
          </w:p>
          <w:p w14:paraId="051ED36E" w14:textId="77777777" w:rsidR="001B0755" w:rsidRPr="00DA6625" w:rsidRDefault="001B0755" w:rsidP="00671BFE">
            <w:r w:rsidRPr="00DA6625">
              <w:t xml:space="preserve">For use </w:t>
            </w:r>
            <w:r w:rsidRPr="002120F2">
              <w:rPr>
                <w:b/>
                <w:bCs/>
                <w:u w:val="single"/>
              </w:rPr>
              <w:t>only</w:t>
            </w:r>
          </w:p>
          <w:p w14:paraId="123E7D42" w14:textId="4C36E7F1" w:rsidR="001B0755" w:rsidRPr="00DA6625" w:rsidRDefault="001B0755" w:rsidP="001B0755">
            <w:pPr>
              <w:pStyle w:val="ListParagraph"/>
              <w:numPr>
                <w:ilvl w:val="0"/>
                <w:numId w:val="2"/>
              </w:numPr>
              <w:ind w:left="201" w:hanging="142"/>
            </w:pPr>
            <w:r w:rsidRPr="00DA6625">
              <w:t xml:space="preserve">When </w:t>
            </w:r>
            <w:r w:rsidRPr="002120F2">
              <w:rPr>
                <w:b/>
                <w:bCs/>
              </w:rPr>
              <w:t>360 toothbrushes are ineffective</w:t>
            </w:r>
            <w:r w:rsidRPr="00DA6625">
              <w:t xml:space="preserve"> in providing adequate moisture to the mouth</w:t>
            </w:r>
          </w:p>
          <w:p w14:paraId="3A98C145" w14:textId="4FFDA5E9" w:rsidR="001B0755" w:rsidRPr="00DA6625" w:rsidRDefault="001B0755" w:rsidP="001B0755">
            <w:pPr>
              <w:pStyle w:val="ListParagraph"/>
              <w:numPr>
                <w:ilvl w:val="0"/>
                <w:numId w:val="2"/>
              </w:numPr>
              <w:ind w:left="201" w:hanging="142"/>
            </w:pPr>
            <w:r w:rsidRPr="00DA6625">
              <w:t xml:space="preserve">Patient’s preference over 360 </w:t>
            </w:r>
            <w:r w:rsidR="007C5D42" w:rsidRPr="00DA6625">
              <w:t>toothbrushes</w:t>
            </w:r>
            <w:r w:rsidRPr="00DA6625">
              <w:t xml:space="preserve"> </w:t>
            </w:r>
          </w:p>
          <w:p w14:paraId="6FEA6734" w14:textId="37B625EA" w:rsidR="001B0755" w:rsidRPr="00DA6625" w:rsidRDefault="001B0755" w:rsidP="001B0755">
            <w:pPr>
              <w:pStyle w:val="ListParagraph"/>
              <w:numPr>
                <w:ilvl w:val="0"/>
                <w:numId w:val="2"/>
              </w:numPr>
              <w:ind w:left="201" w:hanging="142"/>
            </w:pPr>
            <w:r w:rsidRPr="00DA6625">
              <w:t>M</w:t>
            </w:r>
            <w:r w:rsidR="00723157" w:rsidRPr="00DA6625">
              <w:t xml:space="preserve">ay be used to </w:t>
            </w:r>
            <w:r w:rsidR="00723157" w:rsidRPr="00773C94">
              <w:rPr>
                <w:b/>
                <w:bCs/>
              </w:rPr>
              <w:t xml:space="preserve">apply </w:t>
            </w:r>
            <w:r w:rsidR="00773C94">
              <w:rPr>
                <w:b/>
                <w:bCs/>
              </w:rPr>
              <w:t>mouth moisturiser</w:t>
            </w:r>
            <w:r w:rsidR="00723157" w:rsidRPr="00DA6625">
              <w:t xml:space="preserve">. </w:t>
            </w:r>
          </w:p>
          <w:p w14:paraId="46BB46D9" w14:textId="77777777" w:rsidR="001B0755" w:rsidRPr="00DA6625" w:rsidRDefault="001B0755" w:rsidP="00671BFE"/>
          <w:p w14:paraId="7480213E" w14:textId="635FC00B" w:rsidR="00DA6625" w:rsidRDefault="001B0755" w:rsidP="00671BFE">
            <w:r w:rsidRPr="00DA6625">
              <w:t>Directions</w:t>
            </w:r>
            <w:r w:rsidR="00723157" w:rsidRPr="00DA6625">
              <w:t>:</w:t>
            </w:r>
            <w:r w:rsidR="00DA6625">
              <w:t xml:space="preserve"> </w:t>
            </w:r>
            <w:r w:rsidR="00723157" w:rsidRPr="00DA6625">
              <w:t xml:space="preserve">Moisten swab with water </w:t>
            </w:r>
            <w:r w:rsidRPr="00DA6625">
              <w:t>immediately prior to use</w:t>
            </w:r>
            <w:r w:rsidR="00723157" w:rsidRPr="00DA6625">
              <w:t xml:space="preserve">. </w:t>
            </w:r>
            <w:r w:rsidRPr="00DA6625">
              <w:t xml:space="preserve">Apply moisture </w:t>
            </w:r>
            <w:r w:rsidR="00F94BC6" w:rsidRPr="00DA6625">
              <w:t xml:space="preserve">to tongue, hard palate, </w:t>
            </w:r>
            <w:r w:rsidR="007C5D42" w:rsidRPr="00DA6625">
              <w:t>cheeks,</w:t>
            </w:r>
            <w:r w:rsidR="00F94BC6" w:rsidRPr="00DA6625">
              <w:t xml:space="preserve"> and lips.  </w:t>
            </w:r>
            <w:r w:rsidR="00723157" w:rsidRPr="00DA6625">
              <w:t xml:space="preserve">Discard </w:t>
            </w:r>
            <w:r w:rsidRPr="00DA6625">
              <w:t>immediately</w:t>
            </w:r>
            <w:r w:rsidR="00F94BC6" w:rsidRPr="00DA6625">
              <w:t xml:space="preserve"> after single use</w:t>
            </w:r>
            <w:r w:rsidRPr="00DA6625">
              <w:t xml:space="preserve">. </w:t>
            </w:r>
            <w:r w:rsidR="00723157" w:rsidRPr="00DA6625">
              <w:t xml:space="preserve">Do not allow patient to bite down on the oral care tool. </w:t>
            </w:r>
            <w:r w:rsidRPr="00DA6625">
              <w:t>I</w:t>
            </w:r>
            <w:r w:rsidR="00723157" w:rsidRPr="00DA6625">
              <w:t xml:space="preserve">f patient has altered levels of consciousness or cannot comprehend </w:t>
            </w:r>
            <w:r w:rsidR="007C5D42" w:rsidRPr="00DA6625">
              <w:t>commands,</w:t>
            </w:r>
            <w:r w:rsidRPr="00DA6625">
              <w:t xml:space="preserve"> please use 360 </w:t>
            </w:r>
            <w:r w:rsidR="007C5D42" w:rsidRPr="00DA6625">
              <w:t>toothbrushes</w:t>
            </w:r>
            <w:r w:rsidRPr="00DA6625">
              <w:t xml:space="preserve"> instead</w:t>
            </w:r>
            <w:r w:rsidR="00723157" w:rsidRPr="00DA6625">
              <w:t>. Failure to follow these safety precautions may damage the device and present a choking/aspiration hazard.</w:t>
            </w:r>
            <w:r w:rsidR="00723157">
              <w:t xml:space="preserve"> </w:t>
            </w:r>
          </w:p>
          <w:p w14:paraId="76830936" w14:textId="7FB59773" w:rsidR="00DA6625" w:rsidRDefault="00DA6625" w:rsidP="00671BFE"/>
        </w:tc>
      </w:tr>
      <w:tr w:rsidR="00723157" w14:paraId="17189FAB" w14:textId="77777777" w:rsidTr="00DA6625">
        <w:tc>
          <w:tcPr>
            <w:tcW w:w="3828" w:type="dxa"/>
          </w:tcPr>
          <w:p w14:paraId="5D2C1FAF" w14:textId="264592EC" w:rsidR="00723157" w:rsidRPr="00DA6625" w:rsidRDefault="00F94BC6" w:rsidP="00671B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66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Low Foaming </w:t>
            </w:r>
            <w:r w:rsidR="00C06F77" w:rsidRPr="00DA66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(SLS free) </w:t>
            </w:r>
            <w:r w:rsidRPr="00DA6625">
              <w:rPr>
                <w:rFonts w:ascii="Arial" w:hAnsi="Arial" w:cs="Arial"/>
                <w:b/>
                <w:bCs/>
                <w:sz w:val="24"/>
                <w:szCs w:val="24"/>
              </w:rPr>
              <w:t>Toothpaste</w:t>
            </w:r>
          </w:p>
          <w:p w14:paraId="56223EF3" w14:textId="77777777" w:rsidR="00DA6625" w:rsidRDefault="00DA6625" w:rsidP="00671BFE"/>
          <w:p w14:paraId="7A05C1E6" w14:textId="7AD5DA99" w:rsidR="00F94BC6" w:rsidRDefault="00F94BC6" w:rsidP="00DA66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9B8807" wp14:editId="2B9A6376">
                  <wp:extent cx="1628775" cy="1628775"/>
                  <wp:effectExtent l="0" t="0" r="9525" b="9525"/>
                  <wp:docPr id="5" name="Picture 5" descr="A picture containing text, toiletry, skin cream, lo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toiletry, skin cream, lotion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90C676" w14:textId="3B58D7B7" w:rsidR="00F94BC6" w:rsidRPr="00B76030" w:rsidRDefault="00B76030" w:rsidP="00B76030">
            <w:pPr>
              <w:jc w:val="center"/>
              <w:rPr>
                <w:i/>
                <w:iCs/>
              </w:rPr>
            </w:pPr>
            <w:r w:rsidRPr="00B76030">
              <w:rPr>
                <w:i/>
                <w:iCs/>
              </w:rPr>
              <w:t>Must be prescribed</w:t>
            </w:r>
          </w:p>
        </w:tc>
        <w:tc>
          <w:tcPr>
            <w:tcW w:w="7512" w:type="dxa"/>
          </w:tcPr>
          <w:p w14:paraId="7610D3CB" w14:textId="00FBC6BF" w:rsidR="00C06F77" w:rsidRPr="00DA6625" w:rsidRDefault="00C06F77" w:rsidP="00C06F77">
            <w:r w:rsidRPr="00DA6625">
              <w:t xml:space="preserve">This low foaming (SLS free) toothpaste is </w:t>
            </w:r>
            <w:r w:rsidR="00DA6625" w:rsidRPr="00DA6625">
              <w:t xml:space="preserve">for </w:t>
            </w:r>
            <w:r w:rsidRPr="00DA6625">
              <w:t xml:space="preserve">use </w:t>
            </w:r>
            <w:r w:rsidR="00DA6625" w:rsidRPr="00DA6625">
              <w:t>with</w:t>
            </w:r>
            <w:r w:rsidRPr="00DA6625">
              <w:t xml:space="preserve"> patients with conditions such as dysphagia, dry mouth or individuals who are nil by mouth or unable to follow direction due to cognitive issues. </w:t>
            </w:r>
          </w:p>
          <w:p w14:paraId="78018DF2" w14:textId="244B3B62" w:rsidR="00C06F77" w:rsidRPr="002120F2" w:rsidRDefault="00C06F77" w:rsidP="00C06F77">
            <w:pPr>
              <w:pStyle w:val="ListParagraph"/>
              <w:numPr>
                <w:ilvl w:val="0"/>
                <w:numId w:val="4"/>
              </w:numPr>
              <w:ind w:left="201" w:hanging="201"/>
              <w:rPr>
                <w:b/>
                <w:bCs/>
              </w:rPr>
            </w:pPr>
            <w:r w:rsidRPr="002120F2">
              <w:rPr>
                <w:b/>
                <w:bCs/>
              </w:rPr>
              <w:t>Very mild mint flavour</w:t>
            </w:r>
          </w:p>
          <w:p w14:paraId="6EAF7C84" w14:textId="2AED6EBE" w:rsidR="00C06F77" w:rsidRPr="00DA6625" w:rsidRDefault="00C06F77" w:rsidP="00C06F77">
            <w:pPr>
              <w:pStyle w:val="ListParagraph"/>
              <w:numPr>
                <w:ilvl w:val="0"/>
                <w:numId w:val="4"/>
              </w:numPr>
              <w:ind w:left="201" w:hanging="201"/>
            </w:pPr>
            <w:r w:rsidRPr="00DA6625">
              <w:t>SLS-free (low foaming)</w:t>
            </w:r>
          </w:p>
          <w:p w14:paraId="5D48BAAE" w14:textId="2AFE4378" w:rsidR="00C06F77" w:rsidRPr="00DA6625" w:rsidRDefault="00C06F77" w:rsidP="00C06F77">
            <w:pPr>
              <w:pStyle w:val="ListParagraph"/>
              <w:numPr>
                <w:ilvl w:val="0"/>
                <w:numId w:val="4"/>
              </w:numPr>
              <w:ind w:left="201" w:hanging="201"/>
            </w:pPr>
            <w:r w:rsidRPr="002120F2">
              <w:rPr>
                <w:b/>
                <w:bCs/>
              </w:rPr>
              <w:t>Contains 1450ppm fluoride</w:t>
            </w:r>
            <w:r w:rsidRPr="00DA6625">
              <w:t xml:space="preserve"> to help protect teeth</w:t>
            </w:r>
          </w:p>
          <w:p w14:paraId="4A2E8040" w14:textId="58C4C90C" w:rsidR="00C06F77" w:rsidRPr="00DA6625" w:rsidRDefault="00C06F77" w:rsidP="00C06F77">
            <w:pPr>
              <w:pStyle w:val="ListParagraph"/>
              <w:numPr>
                <w:ilvl w:val="0"/>
                <w:numId w:val="4"/>
              </w:numPr>
              <w:ind w:left="201" w:hanging="201"/>
            </w:pPr>
            <w:r w:rsidRPr="00DA6625">
              <w:t xml:space="preserve">Suitable for </w:t>
            </w:r>
            <w:r w:rsidRPr="002120F2">
              <w:rPr>
                <w:b/>
                <w:bCs/>
              </w:rPr>
              <w:t>vegetarians</w:t>
            </w:r>
          </w:p>
          <w:p w14:paraId="74FAE553" w14:textId="6499DC80" w:rsidR="00C06F77" w:rsidRPr="00B76030" w:rsidRDefault="00C06F77" w:rsidP="00C06F77">
            <w:pPr>
              <w:pStyle w:val="ListParagraph"/>
              <w:numPr>
                <w:ilvl w:val="0"/>
                <w:numId w:val="4"/>
              </w:numPr>
              <w:ind w:left="201" w:hanging="201"/>
              <w:rPr>
                <w:u w:val="single"/>
              </w:rPr>
            </w:pPr>
            <w:r w:rsidRPr="00DA6625">
              <w:t xml:space="preserve">Contains milk proteins so </w:t>
            </w:r>
            <w:r w:rsidR="00B76030" w:rsidRPr="00B76030">
              <w:rPr>
                <w:b/>
                <w:bCs/>
              </w:rPr>
              <w:t xml:space="preserve">must be prescribed </w:t>
            </w:r>
            <w:r w:rsidR="00B76030" w:rsidRPr="00B76030">
              <w:t>and</w:t>
            </w:r>
            <w:r w:rsidR="00B76030">
              <w:t xml:space="preserve"> </w:t>
            </w:r>
            <w:r w:rsidRPr="00B76030">
              <w:rPr>
                <w:u w:val="single"/>
              </w:rPr>
              <w:t>not suitable for vegans or pts with lactose intolerance</w:t>
            </w:r>
          </w:p>
          <w:p w14:paraId="51B456A7" w14:textId="77777777" w:rsidR="00C06F77" w:rsidRPr="00DA6625" w:rsidRDefault="00C06F77" w:rsidP="00671BFE"/>
          <w:p w14:paraId="1D09ABB4" w14:textId="500EA676" w:rsidR="00DA6625" w:rsidRDefault="00C06F77" w:rsidP="00671BFE">
            <w:pPr>
              <w:rPr>
                <w:sz w:val="20"/>
                <w:szCs w:val="20"/>
              </w:rPr>
            </w:pPr>
            <w:r w:rsidRPr="00DA6625">
              <w:t>Directions</w:t>
            </w:r>
            <w:r w:rsidR="00DA6625">
              <w:t xml:space="preserve">: </w:t>
            </w:r>
            <w:r w:rsidRPr="00DA6625">
              <w:t>A sme</w:t>
            </w:r>
            <w:r w:rsidR="00DA6625">
              <w:t>a</w:t>
            </w:r>
            <w:r w:rsidRPr="00DA6625">
              <w:t xml:space="preserve">r of non-foaming SLS free toothpaste should be used and the paste should be pressed into the bristles of a normal or 360 </w:t>
            </w:r>
            <w:r w:rsidR="007C5D42" w:rsidRPr="00DA6625">
              <w:t>toothbrushes</w:t>
            </w:r>
            <w:r w:rsidRPr="00DA6625">
              <w:t>.  You do not need to wet the bristles or rinse the mouth after brushing.</w:t>
            </w:r>
            <w:r w:rsidRPr="00C06F77">
              <w:rPr>
                <w:sz w:val="20"/>
                <w:szCs w:val="20"/>
              </w:rPr>
              <w:t xml:space="preserve"> </w:t>
            </w:r>
          </w:p>
          <w:p w14:paraId="1D1A5AC3" w14:textId="51D2BF81" w:rsidR="00716D38" w:rsidRPr="00C06F77" w:rsidRDefault="00716D38" w:rsidP="00671BFE">
            <w:pPr>
              <w:rPr>
                <w:sz w:val="20"/>
                <w:szCs w:val="20"/>
              </w:rPr>
            </w:pPr>
          </w:p>
        </w:tc>
      </w:tr>
      <w:tr w:rsidR="00723157" w14:paraId="09783ED6" w14:textId="77777777" w:rsidTr="00DA6625">
        <w:tc>
          <w:tcPr>
            <w:tcW w:w="3828" w:type="dxa"/>
          </w:tcPr>
          <w:p w14:paraId="302BCBD5" w14:textId="4E9F7EA1" w:rsidR="00DA6625" w:rsidRPr="00DA6625" w:rsidRDefault="00DA6625" w:rsidP="00671B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6625">
              <w:rPr>
                <w:rFonts w:ascii="Arial" w:hAnsi="Arial" w:cs="Arial"/>
                <w:b/>
                <w:bCs/>
                <w:sz w:val="24"/>
                <w:szCs w:val="24"/>
              </w:rPr>
              <w:t>Toothette Mouth Moisturiser</w:t>
            </w:r>
          </w:p>
          <w:p w14:paraId="6A3A6A79" w14:textId="282D4A7A" w:rsidR="00DA6625" w:rsidRDefault="00B76030" w:rsidP="00671BF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B92C06" wp14:editId="517E9D8E">
                  <wp:simplePos x="0" y="0"/>
                  <wp:positionH relativeFrom="column">
                    <wp:posOffset>494030</wp:posOffset>
                  </wp:positionH>
                  <wp:positionV relativeFrom="page">
                    <wp:posOffset>231140</wp:posOffset>
                  </wp:positionV>
                  <wp:extent cx="1419225" cy="1419225"/>
                  <wp:effectExtent l="0" t="0" r="9525" b="9525"/>
                  <wp:wrapNone/>
                  <wp:docPr id="11" name="Picture 11" descr="A tube of toothpast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tube of toothpaste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E6ABDB" w14:textId="4C6E0D38" w:rsidR="00B76030" w:rsidRDefault="00B76030" w:rsidP="002120F2">
            <w:pPr>
              <w:jc w:val="center"/>
            </w:pPr>
          </w:p>
          <w:p w14:paraId="4FEABEE3" w14:textId="30D2C965" w:rsidR="00B76030" w:rsidRDefault="00B76030" w:rsidP="002120F2">
            <w:pPr>
              <w:jc w:val="center"/>
            </w:pPr>
          </w:p>
          <w:p w14:paraId="3EA151CE" w14:textId="77777777" w:rsidR="00B76030" w:rsidRDefault="00B76030" w:rsidP="002120F2">
            <w:pPr>
              <w:jc w:val="center"/>
            </w:pPr>
          </w:p>
          <w:p w14:paraId="2A3BC1A0" w14:textId="77777777" w:rsidR="00B76030" w:rsidRDefault="00B76030" w:rsidP="002120F2">
            <w:pPr>
              <w:jc w:val="center"/>
            </w:pPr>
          </w:p>
          <w:p w14:paraId="34744398" w14:textId="77777777" w:rsidR="00B76030" w:rsidRDefault="00B76030" w:rsidP="002120F2">
            <w:pPr>
              <w:jc w:val="center"/>
            </w:pPr>
          </w:p>
          <w:p w14:paraId="3FAF4B43" w14:textId="77777777" w:rsidR="00B76030" w:rsidRDefault="00B76030" w:rsidP="002120F2">
            <w:pPr>
              <w:jc w:val="center"/>
            </w:pPr>
          </w:p>
          <w:p w14:paraId="3A42D61B" w14:textId="77777777" w:rsidR="00B76030" w:rsidRDefault="00B76030" w:rsidP="002120F2">
            <w:pPr>
              <w:jc w:val="center"/>
            </w:pPr>
          </w:p>
          <w:p w14:paraId="30BF3FFF" w14:textId="77777777" w:rsidR="00B76030" w:rsidRDefault="00B76030" w:rsidP="002120F2">
            <w:pPr>
              <w:jc w:val="center"/>
            </w:pPr>
          </w:p>
          <w:p w14:paraId="26B218C6" w14:textId="420A8215" w:rsidR="00DA6625" w:rsidRPr="00B76030" w:rsidRDefault="00B76030" w:rsidP="002120F2">
            <w:pPr>
              <w:jc w:val="center"/>
              <w:rPr>
                <w:i/>
                <w:iCs/>
              </w:rPr>
            </w:pPr>
            <w:r w:rsidRPr="00B76030">
              <w:rPr>
                <w:i/>
                <w:iCs/>
              </w:rPr>
              <w:t>Must be prescribed</w:t>
            </w:r>
          </w:p>
        </w:tc>
        <w:tc>
          <w:tcPr>
            <w:tcW w:w="7512" w:type="dxa"/>
          </w:tcPr>
          <w:p w14:paraId="091615E1" w14:textId="77777777" w:rsidR="002120F2" w:rsidRPr="00773C94" w:rsidRDefault="00DA6625" w:rsidP="002120F2">
            <w:pPr>
              <w:rPr>
                <w:lang w:eastAsia="en-GB"/>
              </w:rPr>
            </w:pPr>
            <w:r w:rsidRPr="00773C94">
              <w:rPr>
                <w:lang w:eastAsia="en-GB"/>
              </w:rPr>
              <w:t>A healthy, moisturized mouth can make it easier to eat and communicate and is essential for healing mouth sores. It can be applied to the lips and inside of the mouth</w:t>
            </w:r>
            <w:r w:rsidR="002120F2" w:rsidRPr="00773C94">
              <w:rPr>
                <w:lang w:eastAsia="en-GB"/>
              </w:rPr>
              <w:t>.</w:t>
            </w:r>
          </w:p>
          <w:p w14:paraId="12F3B0EC" w14:textId="1594D0AC" w:rsidR="00DA6625" w:rsidRPr="00773C94" w:rsidRDefault="00DA6625" w:rsidP="002120F2">
            <w:pPr>
              <w:pStyle w:val="ListParagraph"/>
              <w:numPr>
                <w:ilvl w:val="0"/>
                <w:numId w:val="5"/>
              </w:numPr>
              <w:rPr>
                <w:lang w:eastAsia="en-GB"/>
              </w:rPr>
            </w:pPr>
            <w:r w:rsidRPr="00773C94">
              <w:rPr>
                <w:b/>
                <w:bCs/>
                <w:lang w:eastAsia="en-GB"/>
              </w:rPr>
              <w:t>Soothes and hydrates</w:t>
            </w:r>
            <w:r w:rsidRPr="00773C94">
              <w:rPr>
                <w:lang w:eastAsia="en-GB"/>
              </w:rPr>
              <w:t> lips and mouth.</w:t>
            </w:r>
          </w:p>
          <w:p w14:paraId="29D71AC3" w14:textId="77777777" w:rsidR="00DA6625" w:rsidRPr="00DA6625" w:rsidRDefault="00DA6625" w:rsidP="00DA6625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DA662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Water-based formula</w:t>
            </w:r>
            <w:r w:rsidRPr="00DA6625">
              <w:rPr>
                <w:rFonts w:eastAsia="Times New Roman" w:cstheme="minorHAnsi"/>
                <w:color w:val="000000"/>
                <w:lang w:eastAsia="en-GB"/>
              </w:rPr>
              <w:t> contains Vitamin E and coconut oil.</w:t>
            </w:r>
          </w:p>
          <w:p w14:paraId="3C2A7A31" w14:textId="4F0C9AB2" w:rsidR="00DA6625" w:rsidRPr="00DA6625" w:rsidRDefault="00DA6625" w:rsidP="00DA6625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DA662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Mild spearmint flavo</w:t>
            </w:r>
            <w:r w:rsidR="002120F2" w:rsidRPr="00773C9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u</w:t>
            </w:r>
            <w:r w:rsidRPr="00DA662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 </w:t>
            </w:r>
            <w:r w:rsidRPr="00DA6625">
              <w:rPr>
                <w:rFonts w:eastAsia="Times New Roman" w:cstheme="minorHAnsi"/>
                <w:color w:val="000000"/>
                <w:lang w:eastAsia="en-GB"/>
              </w:rPr>
              <w:t>is a refreshing taste.</w:t>
            </w:r>
          </w:p>
          <w:p w14:paraId="449E6AFD" w14:textId="77777777" w:rsidR="00DA6625" w:rsidRPr="00DA6625" w:rsidRDefault="00DA6625" w:rsidP="00DA6625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DA662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Alcohol-free </w:t>
            </w:r>
            <w:r w:rsidRPr="00DA6625">
              <w:rPr>
                <w:rFonts w:eastAsia="Times New Roman" w:cstheme="minorHAnsi"/>
                <w:color w:val="000000"/>
                <w:lang w:eastAsia="en-GB"/>
              </w:rPr>
              <w:t>and formulated with moisturizing ingredients.</w:t>
            </w:r>
          </w:p>
          <w:p w14:paraId="20F66BFC" w14:textId="28C543EB" w:rsidR="00DA6625" w:rsidRPr="00773C94" w:rsidRDefault="00DA6625" w:rsidP="000838FB">
            <w:pPr>
              <w:numPr>
                <w:ilvl w:val="0"/>
                <w:numId w:val="5"/>
              </w:numPr>
              <w:shd w:val="clear" w:color="auto" w:fill="FFFFFF"/>
            </w:pPr>
            <w:r w:rsidRPr="00773C94">
              <w:rPr>
                <w:rFonts w:eastAsia="Times New Roman" w:cstheme="minorHAnsi"/>
                <w:color w:val="000000"/>
                <w:lang w:eastAsia="en-GB"/>
              </w:rPr>
              <w:t xml:space="preserve">Should be </w:t>
            </w:r>
            <w:r w:rsidRPr="00773C9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prescribed</w:t>
            </w:r>
            <w:r w:rsidRPr="00773C94">
              <w:rPr>
                <w:rFonts w:eastAsia="Times New Roman" w:cstheme="minorHAnsi"/>
                <w:color w:val="000000"/>
                <w:lang w:eastAsia="en-GB"/>
              </w:rPr>
              <w:t xml:space="preserve">. </w:t>
            </w:r>
          </w:p>
          <w:p w14:paraId="196D1982" w14:textId="0F6C4B0F" w:rsidR="00FD1B47" w:rsidRDefault="00DA6625" w:rsidP="00DA6625">
            <w:r w:rsidRPr="00773C94">
              <w:t>Directions: Can be applied to the lips and/or inside of the mouth.  Can be used by patients requiring oxygen.</w:t>
            </w:r>
            <w:r>
              <w:t xml:space="preserve"> </w:t>
            </w:r>
            <w:r w:rsidR="00773C94">
              <w:t xml:space="preserve">Other mouth moisturisers can be prescribed depending on individual need and patient preference. </w:t>
            </w:r>
          </w:p>
        </w:tc>
      </w:tr>
      <w:bookmarkEnd w:id="0"/>
    </w:tbl>
    <w:p w14:paraId="522D6715" w14:textId="77777777" w:rsidR="00723157" w:rsidRPr="00671BFE" w:rsidRDefault="00723157" w:rsidP="00E85FF8"/>
    <w:sectPr w:rsidR="00723157" w:rsidRPr="00671BFE" w:rsidSect="00DA662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2767"/>
    <w:multiLevelType w:val="hybridMultilevel"/>
    <w:tmpl w:val="A300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6985"/>
    <w:multiLevelType w:val="hybridMultilevel"/>
    <w:tmpl w:val="C12EA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E6053"/>
    <w:multiLevelType w:val="hybridMultilevel"/>
    <w:tmpl w:val="5CBA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5338C"/>
    <w:multiLevelType w:val="multilevel"/>
    <w:tmpl w:val="8276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92C76"/>
    <w:multiLevelType w:val="hybridMultilevel"/>
    <w:tmpl w:val="C2A84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FE"/>
    <w:rsid w:val="000C5FC7"/>
    <w:rsid w:val="001B0755"/>
    <w:rsid w:val="002120F2"/>
    <w:rsid w:val="00671BFE"/>
    <w:rsid w:val="00716D38"/>
    <w:rsid w:val="00723157"/>
    <w:rsid w:val="00773C94"/>
    <w:rsid w:val="007C5D42"/>
    <w:rsid w:val="00B76030"/>
    <w:rsid w:val="00B868C1"/>
    <w:rsid w:val="00C06F77"/>
    <w:rsid w:val="00CA0562"/>
    <w:rsid w:val="00DA6625"/>
    <w:rsid w:val="00DA7215"/>
    <w:rsid w:val="00E85C3A"/>
    <w:rsid w:val="00E85FF8"/>
    <w:rsid w:val="00E91EE7"/>
    <w:rsid w:val="00F94BC6"/>
    <w:rsid w:val="00F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F8E4AD"/>
  <w15:chartTrackingRefBased/>
  <w15:docId w15:val="{98B4CA55-9182-4ACE-98E0-0565D356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2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1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6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MCCLEAN, Hannah (SALISBURY NHS FOUNDATION TRUST)</dc:creator>
  <cp:keywords/>
  <dc:description/>
  <cp:lastModifiedBy>THAPA, Rashmi (SALISBURY NHS FOUNDATION TRUST)</cp:lastModifiedBy>
  <cp:revision>3</cp:revision>
  <dcterms:created xsi:type="dcterms:W3CDTF">2022-09-23T08:59:00Z</dcterms:created>
  <dcterms:modified xsi:type="dcterms:W3CDTF">2022-09-28T08:32:00Z</dcterms:modified>
</cp:coreProperties>
</file>