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170C2" w14:textId="77777777" w:rsidR="00E75A80" w:rsidRPr="00DD0469" w:rsidRDefault="00E75A80" w:rsidP="002A6752">
      <w:pPr>
        <w:pStyle w:val="Heading1"/>
      </w:pPr>
      <w:r w:rsidRPr="00DD0469">
        <w:t xml:space="preserve">Work Package Description </w:t>
      </w:r>
    </w:p>
    <w:p w14:paraId="1CDF80BF" w14:textId="77777777" w:rsidR="00DD0469" w:rsidRDefault="00DD0469" w:rsidP="00DD0469">
      <w:pPr>
        <w:rPr>
          <w:rFonts w:cs="Arial"/>
        </w:rPr>
      </w:pPr>
    </w:p>
    <w:p w14:paraId="455AD0B1" w14:textId="77777777" w:rsidR="008B7921" w:rsidRDefault="00ED76AD" w:rsidP="00B36142">
      <w:pPr>
        <w:pStyle w:val="Heading3"/>
        <w:spacing w:before="0"/>
        <w:jc w:val="both"/>
      </w:pPr>
      <w:r>
        <w:t>Work boundaries</w:t>
      </w:r>
    </w:p>
    <w:p w14:paraId="4804DDB5" w14:textId="77777777" w:rsidR="00ED76AD" w:rsidRDefault="00ED76AD" w:rsidP="001F0B93">
      <w:pPr>
        <w:suppressAutoHyphens/>
        <w:spacing w:before="120" w:after="6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957"/>
      </w:tblGrid>
      <w:tr w:rsidR="00ED76AD" w14:paraId="07500451" w14:textId="77777777" w:rsidTr="00BF3E40">
        <w:tc>
          <w:tcPr>
            <w:tcW w:w="3510" w:type="dxa"/>
            <w:shd w:val="clear" w:color="auto" w:fill="auto"/>
          </w:tcPr>
          <w:p w14:paraId="7DBA4690" w14:textId="77777777" w:rsidR="00ED76AD" w:rsidRDefault="00ED76AD" w:rsidP="00BF3E40">
            <w:pPr>
              <w:suppressAutoHyphens/>
              <w:spacing w:before="120" w:after="60"/>
              <w:jc w:val="both"/>
              <w:rPr>
                <w:b/>
              </w:rPr>
            </w:pPr>
            <w:r w:rsidRPr="00BF3E40">
              <w:rPr>
                <w:b/>
              </w:rPr>
              <w:t>Scope of work</w:t>
            </w:r>
          </w:p>
          <w:p w14:paraId="6E31EC09" w14:textId="77777777" w:rsidR="00BC6CA8" w:rsidRDefault="00BC6CA8" w:rsidP="00BF3E40">
            <w:pPr>
              <w:suppressAutoHyphens/>
              <w:spacing w:before="120" w:after="60"/>
              <w:jc w:val="both"/>
              <w:rPr>
                <w:b/>
              </w:rPr>
            </w:pPr>
          </w:p>
          <w:p w14:paraId="0C38FA80" w14:textId="77777777" w:rsidR="00BC6CA8" w:rsidRPr="00BF3E40" w:rsidRDefault="00BC6CA8" w:rsidP="00BA1D48">
            <w:pPr>
              <w:suppressAutoHyphens/>
              <w:spacing w:before="120" w:after="60"/>
              <w:jc w:val="both"/>
              <w:rPr>
                <w:b/>
              </w:rPr>
            </w:pPr>
          </w:p>
        </w:tc>
        <w:tc>
          <w:tcPr>
            <w:tcW w:w="6118" w:type="dxa"/>
            <w:shd w:val="clear" w:color="auto" w:fill="auto"/>
          </w:tcPr>
          <w:p w14:paraId="00EEC344" w14:textId="46A3389D" w:rsidR="000C229D" w:rsidRDefault="00E1674F" w:rsidP="001E45F3">
            <w:pPr>
              <w:tabs>
                <w:tab w:val="left" w:pos="315"/>
              </w:tabs>
              <w:suppressAutoHyphens/>
              <w:spacing w:before="120" w:after="60"/>
              <w:jc w:val="both"/>
            </w:pPr>
            <w:r>
              <w:t>Menumark (from Datasym) is the software used by the Catering team to construct menus and integrate with the tills in Springs and Hedgerows</w:t>
            </w:r>
            <w:r w:rsidR="001C6C68">
              <w:t xml:space="preserve">. </w:t>
            </w:r>
            <w:r w:rsidR="006520C1">
              <w:t xml:space="preserve">It is running on an out of support server, </w:t>
            </w:r>
            <w:r>
              <w:rPr>
                <w:rFonts w:cs="Arial"/>
              </w:rPr>
              <w:t>FAC01SQLP-V2</w:t>
            </w:r>
            <w:r w:rsidR="006520C1">
              <w:t>, and therefore needs to be migrated to new hardware as part of the Servers Refresh project.</w:t>
            </w:r>
          </w:p>
          <w:p w14:paraId="6D76AC77" w14:textId="1B741841" w:rsidR="00D96EA3" w:rsidRDefault="00DA7B1F" w:rsidP="00D96EA3">
            <w:pPr>
              <w:tabs>
                <w:tab w:val="left" w:pos="315"/>
              </w:tabs>
              <w:suppressAutoHyphens/>
              <w:spacing w:before="120" w:after="60"/>
              <w:jc w:val="both"/>
            </w:pPr>
            <w:r>
              <w:t xml:space="preserve">The scope of this work package is to migrate </w:t>
            </w:r>
            <w:r w:rsidR="00E1674F">
              <w:t xml:space="preserve">Menumark </w:t>
            </w:r>
            <w:r>
              <w:t xml:space="preserve">to new, supported server hardware, to ensure that </w:t>
            </w:r>
            <w:r w:rsidR="006520C1">
              <w:t xml:space="preserve">the </w:t>
            </w:r>
            <w:r w:rsidR="00E1674F">
              <w:t>5 Datasym</w:t>
            </w:r>
            <w:r>
              <w:t xml:space="preserve"> </w:t>
            </w:r>
            <w:r w:rsidR="00E1674F">
              <w:t>tills plus client workstations</w:t>
            </w:r>
            <w:r w:rsidR="006520C1">
              <w:t xml:space="preserve"> can still access the software, and finally to decommission the old server</w:t>
            </w:r>
            <w:r w:rsidR="00D96EA3">
              <w:t>.</w:t>
            </w:r>
          </w:p>
          <w:p w14:paraId="55C1CFDC" w14:textId="41817671" w:rsidR="007B649B" w:rsidRPr="00C46F05" w:rsidRDefault="007B649B" w:rsidP="00D96EA3">
            <w:pPr>
              <w:tabs>
                <w:tab w:val="left" w:pos="315"/>
              </w:tabs>
              <w:suppressAutoHyphens/>
              <w:spacing w:before="120" w:after="60"/>
              <w:jc w:val="both"/>
            </w:pPr>
            <w:r>
              <w:t xml:space="preserve">N.B. It is not planned to upgrade our version of </w:t>
            </w:r>
            <w:r w:rsidR="00E1674F">
              <w:t>Menumark</w:t>
            </w:r>
            <w:r>
              <w:t xml:space="preserve"> as part of this migration.</w:t>
            </w:r>
          </w:p>
        </w:tc>
      </w:tr>
      <w:tr w:rsidR="00ED76AD" w14:paraId="7B64CA30" w14:textId="77777777" w:rsidTr="00BF3E40">
        <w:tc>
          <w:tcPr>
            <w:tcW w:w="3510" w:type="dxa"/>
            <w:shd w:val="clear" w:color="auto" w:fill="auto"/>
          </w:tcPr>
          <w:p w14:paraId="23C23F4A" w14:textId="77777777" w:rsidR="00ED76AD" w:rsidRPr="00BF3E40" w:rsidRDefault="00ED76AD" w:rsidP="00BF3E40">
            <w:pPr>
              <w:suppressAutoHyphens/>
              <w:spacing w:before="120" w:after="60"/>
              <w:jc w:val="both"/>
              <w:rPr>
                <w:b/>
              </w:rPr>
            </w:pPr>
            <w:r w:rsidRPr="00BF3E40">
              <w:rPr>
                <w:b/>
              </w:rPr>
              <w:t>Purpose</w:t>
            </w:r>
          </w:p>
        </w:tc>
        <w:tc>
          <w:tcPr>
            <w:tcW w:w="6118" w:type="dxa"/>
            <w:shd w:val="clear" w:color="auto" w:fill="auto"/>
          </w:tcPr>
          <w:p w14:paraId="6E02C5A2" w14:textId="24B2931D" w:rsidR="00ED76AD" w:rsidRDefault="006520C1" w:rsidP="00893EB2">
            <w:pPr>
              <w:suppressAutoHyphens/>
              <w:spacing w:before="120" w:after="60"/>
              <w:jc w:val="both"/>
            </w:pPr>
            <w:r>
              <w:t>T</w:t>
            </w:r>
            <w:r w:rsidR="00D96EA3">
              <w:t>o increase cyber security</w:t>
            </w:r>
            <w:r>
              <w:t xml:space="preserve"> by migrating </w:t>
            </w:r>
            <w:r w:rsidR="00E1674F">
              <w:t>Menumark</w:t>
            </w:r>
            <w:r>
              <w:t xml:space="preserve"> to new hardware and subsequently decommission the old.</w:t>
            </w:r>
          </w:p>
        </w:tc>
      </w:tr>
      <w:tr w:rsidR="00ED76AD" w14:paraId="3DE42204" w14:textId="77777777" w:rsidTr="00BF3E40">
        <w:tc>
          <w:tcPr>
            <w:tcW w:w="3510" w:type="dxa"/>
            <w:shd w:val="clear" w:color="auto" w:fill="auto"/>
          </w:tcPr>
          <w:p w14:paraId="64AD9AD5" w14:textId="77777777" w:rsidR="00ED76AD" w:rsidRPr="00BF3E40" w:rsidRDefault="00ED76AD" w:rsidP="00BF3E40">
            <w:pPr>
              <w:suppressAutoHyphens/>
              <w:spacing w:before="120" w:after="60"/>
              <w:jc w:val="both"/>
              <w:rPr>
                <w:b/>
              </w:rPr>
            </w:pPr>
            <w:r w:rsidRPr="00BF3E40">
              <w:rPr>
                <w:b/>
              </w:rPr>
              <w:t>Deadline</w:t>
            </w:r>
          </w:p>
        </w:tc>
        <w:tc>
          <w:tcPr>
            <w:tcW w:w="6118" w:type="dxa"/>
            <w:shd w:val="clear" w:color="auto" w:fill="auto"/>
          </w:tcPr>
          <w:p w14:paraId="7319BFE8" w14:textId="3250BDA3" w:rsidR="00ED76AD" w:rsidRDefault="00E1674F" w:rsidP="003818FE">
            <w:pPr>
              <w:suppressAutoHyphens/>
              <w:spacing w:before="120" w:after="60"/>
              <w:jc w:val="both"/>
            </w:pPr>
            <w:r>
              <w:t>The Catering team and the supplier, Datasym, have identified the first week of November as a suitable window for this migration – Wednesday 2</w:t>
            </w:r>
            <w:r w:rsidRPr="00E1674F">
              <w:rPr>
                <w:vertAlign w:val="superscript"/>
              </w:rPr>
              <w:t>nd</w:t>
            </w:r>
            <w:r>
              <w:t xml:space="preserve"> November has been provisionally chosen</w:t>
            </w:r>
          </w:p>
        </w:tc>
      </w:tr>
      <w:tr w:rsidR="00ED76AD" w14:paraId="1178D628" w14:textId="77777777" w:rsidTr="00BF3E40">
        <w:tc>
          <w:tcPr>
            <w:tcW w:w="3510" w:type="dxa"/>
            <w:shd w:val="clear" w:color="auto" w:fill="auto"/>
          </w:tcPr>
          <w:p w14:paraId="73F9BB4E" w14:textId="77777777" w:rsidR="00ED76AD" w:rsidRPr="00BF3E40" w:rsidRDefault="00ED76AD" w:rsidP="00BF3E40">
            <w:pPr>
              <w:suppressAutoHyphens/>
              <w:spacing w:before="120" w:after="60"/>
              <w:jc w:val="both"/>
              <w:rPr>
                <w:b/>
              </w:rPr>
            </w:pPr>
            <w:r w:rsidRPr="00BF3E40">
              <w:rPr>
                <w:b/>
              </w:rPr>
              <w:t>Constraints / dependencies</w:t>
            </w:r>
          </w:p>
        </w:tc>
        <w:tc>
          <w:tcPr>
            <w:tcW w:w="6118" w:type="dxa"/>
            <w:shd w:val="clear" w:color="auto" w:fill="auto"/>
          </w:tcPr>
          <w:p w14:paraId="4E93A6F5" w14:textId="04E857FE" w:rsidR="00893EB2" w:rsidRDefault="00E1674F" w:rsidP="00D96EA3">
            <w:pPr>
              <w:suppressAutoHyphens/>
              <w:spacing w:before="120" w:after="60"/>
              <w:jc w:val="both"/>
            </w:pPr>
            <w:r>
              <w:t>Can’t start the migration until after 2pm in the afternoon</w:t>
            </w:r>
          </w:p>
        </w:tc>
      </w:tr>
    </w:tbl>
    <w:p w14:paraId="4D810126" w14:textId="77777777" w:rsidR="001F0B93" w:rsidRDefault="00ED76AD" w:rsidP="007C7A39">
      <w:pPr>
        <w:pStyle w:val="Heading3"/>
      </w:pPr>
      <w:r>
        <w:t>Design information</w:t>
      </w:r>
    </w:p>
    <w:p w14:paraId="0BC98E3E" w14:textId="43CEAB63" w:rsidR="00ED76AD" w:rsidRDefault="00C44ED4" w:rsidP="00EF310D">
      <w:r>
        <w:t>The design remains unchanged from the solution already in place</w:t>
      </w:r>
      <w:r w:rsidR="00DF72C7">
        <w:t xml:space="preserve">, we are simply moving the </w:t>
      </w:r>
      <w:r w:rsidR="00EF310D">
        <w:t xml:space="preserve">application and </w:t>
      </w:r>
      <w:r w:rsidR="00DF72C7">
        <w:t>database to a new server (in the new domain)</w:t>
      </w:r>
      <w:r w:rsidR="00EF310D">
        <w:t>.</w:t>
      </w:r>
    </w:p>
    <w:p w14:paraId="5E5F7782" w14:textId="77777777" w:rsidR="00EB469B" w:rsidRDefault="00EB469B" w:rsidP="007C7A39">
      <w:pPr>
        <w:pStyle w:val="Heading3"/>
      </w:pPr>
      <w:r>
        <w:t>Key Deliverables</w:t>
      </w:r>
    </w:p>
    <w:p w14:paraId="0F788E6C" w14:textId="77777777" w:rsidR="00B56ABC" w:rsidRDefault="00B56ABC" w:rsidP="001F0B93">
      <w:r>
        <w:t>The following deliverables must be met to complete this work package:</w:t>
      </w:r>
    </w:p>
    <w:p w14:paraId="1EFC70B2" w14:textId="640BE594" w:rsidR="00516EA6" w:rsidRDefault="00516EA6" w:rsidP="00516EA6">
      <w:pPr>
        <w:pStyle w:val="ListParagraph"/>
        <w:numPr>
          <w:ilvl w:val="0"/>
          <w:numId w:val="14"/>
        </w:numPr>
      </w:pPr>
      <w:r>
        <w:t>New server in SALISBURY domain</w:t>
      </w:r>
      <w:r w:rsidR="00C3239F">
        <w:t xml:space="preserve"> for </w:t>
      </w:r>
      <w:r w:rsidR="00E1674F">
        <w:t>Menumark</w:t>
      </w:r>
    </w:p>
    <w:p w14:paraId="47212C6A" w14:textId="053F2CDA" w:rsidR="00DF72C7" w:rsidRDefault="00DF72C7" w:rsidP="00516EA6">
      <w:pPr>
        <w:pStyle w:val="ListParagraph"/>
        <w:numPr>
          <w:ilvl w:val="0"/>
          <w:numId w:val="14"/>
        </w:numPr>
      </w:pPr>
      <w:r>
        <w:t xml:space="preserve">SQL Server </w:t>
      </w:r>
      <w:r w:rsidR="00BB76D7">
        <w:t xml:space="preserve">2019 </w:t>
      </w:r>
      <w:r>
        <w:t>installation on server</w:t>
      </w:r>
    </w:p>
    <w:p w14:paraId="63A869A8" w14:textId="7D6F84E5" w:rsidR="00D27D09" w:rsidRDefault="00D27D09" w:rsidP="00516EA6">
      <w:pPr>
        <w:pStyle w:val="ListParagraph"/>
        <w:numPr>
          <w:ilvl w:val="0"/>
          <w:numId w:val="14"/>
        </w:numPr>
      </w:pPr>
      <w:r>
        <w:t xml:space="preserve">Remote access provided to new server for </w:t>
      </w:r>
      <w:r w:rsidR="00E1674F">
        <w:t>Dat</w:t>
      </w:r>
      <w:r w:rsidR="000E2617">
        <w:t>a</w:t>
      </w:r>
      <w:r w:rsidR="00E1674F">
        <w:t>sym</w:t>
      </w:r>
      <w:r>
        <w:t xml:space="preserve"> engineer</w:t>
      </w:r>
    </w:p>
    <w:p w14:paraId="15896F79" w14:textId="000B5CD9" w:rsidR="00516EA6" w:rsidRDefault="00516EA6" w:rsidP="00516EA6">
      <w:pPr>
        <w:pStyle w:val="ListParagraph"/>
        <w:numPr>
          <w:ilvl w:val="0"/>
          <w:numId w:val="14"/>
        </w:numPr>
      </w:pPr>
      <w:r>
        <w:t xml:space="preserve">User group in new domain to facilitate user access to the new </w:t>
      </w:r>
      <w:r w:rsidR="00C3239F">
        <w:t>server</w:t>
      </w:r>
      <w:r w:rsidR="00E1674F">
        <w:t xml:space="preserve"> (if necessary)</w:t>
      </w:r>
    </w:p>
    <w:p w14:paraId="7B212D39" w14:textId="12D4A283" w:rsidR="00516EA6" w:rsidRDefault="00516EA6" w:rsidP="00E1674F">
      <w:pPr>
        <w:pStyle w:val="ListParagraph"/>
        <w:numPr>
          <w:ilvl w:val="0"/>
          <w:numId w:val="14"/>
        </w:numPr>
      </w:pPr>
      <w:r>
        <w:t xml:space="preserve">Migration of existing </w:t>
      </w:r>
      <w:r w:rsidR="00E1674F">
        <w:t>Menumark</w:t>
      </w:r>
      <w:r>
        <w:t xml:space="preserve"> database to new server</w:t>
      </w:r>
    </w:p>
    <w:p w14:paraId="40212076" w14:textId="3A4A3390" w:rsidR="00C3239F" w:rsidRDefault="00D27D09" w:rsidP="00C3239F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Ensure </w:t>
      </w:r>
      <w:r w:rsidR="00E1674F">
        <w:t>Menumark</w:t>
      </w:r>
      <w:r>
        <w:t xml:space="preserve"> workstations </w:t>
      </w:r>
      <w:r w:rsidR="00E1674F">
        <w:t>and Dat</w:t>
      </w:r>
      <w:r w:rsidR="000E2617">
        <w:t>a</w:t>
      </w:r>
      <w:r w:rsidR="00E1674F">
        <w:t xml:space="preserve">sym tills </w:t>
      </w:r>
      <w:r>
        <w:t>are integrated with new server</w:t>
      </w:r>
      <w:r w:rsidR="007B649B">
        <w:t xml:space="preserve"> </w:t>
      </w:r>
      <w:r w:rsidR="003E56F8">
        <w:t xml:space="preserve">and working properly </w:t>
      </w:r>
      <w:r w:rsidR="007B649B">
        <w:t>(may require support from desktop team)</w:t>
      </w:r>
    </w:p>
    <w:p w14:paraId="4A737479" w14:textId="57528FC1" w:rsidR="00C3239F" w:rsidRDefault="00D27D09" w:rsidP="00C3239F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Decommission old </w:t>
      </w:r>
      <w:r w:rsidR="00E1674F">
        <w:t>Menumark</w:t>
      </w:r>
      <w:r>
        <w:t xml:space="preserve"> server </w:t>
      </w:r>
      <w:r w:rsidR="00E1674F">
        <w:rPr>
          <w:rFonts w:cs="Arial"/>
        </w:rPr>
        <w:t>FAC01SQLP-V2</w:t>
      </w:r>
    </w:p>
    <w:p w14:paraId="617DB58D" w14:textId="77777777" w:rsidR="00516EA6" w:rsidRDefault="00516EA6" w:rsidP="00516EA6"/>
    <w:p w14:paraId="080FCDCE" w14:textId="77777777" w:rsidR="002A6752" w:rsidRDefault="002A6752" w:rsidP="0048377F">
      <w:pPr>
        <w:pStyle w:val="Heading3"/>
        <w:jc w:val="both"/>
      </w:pPr>
      <w:r>
        <w:t>Key elements</w:t>
      </w:r>
    </w:p>
    <w:p w14:paraId="615703F8" w14:textId="77777777" w:rsidR="00ED76AD" w:rsidRPr="001F0B93" w:rsidRDefault="00ED76AD" w:rsidP="00ED76AD">
      <w:pPr>
        <w:jc w:val="both"/>
        <w:rPr>
          <w:i/>
        </w:rPr>
      </w:pPr>
      <w:r>
        <w:rPr>
          <w:rFonts w:cs="Arial"/>
          <w:i/>
        </w:rPr>
        <w:t>Think</w:t>
      </w:r>
      <w:r w:rsidR="001F0B93" w:rsidRPr="001F0B93">
        <w:rPr>
          <w:rFonts w:cs="Arial"/>
          <w:i/>
        </w:rPr>
        <w:t xml:space="preserve"> software, hardware, configuration, connectivity, installation, technical versions, data protection, security, infrastructural, systems access, integration, backups, database administration, etc.</w:t>
      </w:r>
      <w:r>
        <w:rPr>
          <w:rFonts w:cs="Arial"/>
          <w:i/>
        </w:rPr>
        <w:t xml:space="preserve"> </w:t>
      </w:r>
      <w:r>
        <w:rPr>
          <w:i/>
        </w:rPr>
        <w:t>Define</w:t>
      </w:r>
      <w:r w:rsidRPr="001F0B93">
        <w:rPr>
          <w:i/>
        </w:rPr>
        <w:t xml:space="preserve"> the activities you require from IT in detail</w:t>
      </w:r>
      <w:r>
        <w:rPr>
          <w:i/>
        </w:rPr>
        <w:t xml:space="preserve"> where possible</w:t>
      </w:r>
      <w:r w:rsidRPr="001F0B93">
        <w:rPr>
          <w:i/>
        </w:rPr>
        <w:t xml:space="preserve">.  Liaison with </w:t>
      </w:r>
      <w:r w:rsidRPr="001F0B93">
        <w:rPr>
          <w:i/>
        </w:rPr>
        <w:lastRenderedPageBreak/>
        <w:t>IT and their Tech Group about the design of solution - before this work package is completed - should help define what those activities need to be and who needs to complete them and by when</w:t>
      </w:r>
    </w:p>
    <w:p w14:paraId="62401A68" w14:textId="77777777" w:rsidR="00ED76AD" w:rsidRDefault="00ED76AD" w:rsidP="0048377F">
      <w:pPr>
        <w:jc w:val="both"/>
        <w:rPr>
          <w:rFonts w:cs="Arial"/>
          <w:i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875"/>
        <w:gridCol w:w="2449"/>
        <w:gridCol w:w="2447"/>
      </w:tblGrid>
      <w:tr w:rsidR="00332ACA" w:rsidRPr="001A3E00" w14:paraId="692293EB" w14:textId="77777777" w:rsidTr="00BA1D48">
        <w:tc>
          <w:tcPr>
            <w:tcW w:w="2520" w:type="dxa"/>
            <w:shd w:val="clear" w:color="auto" w:fill="17365D" w:themeFill="text2" w:themeFillShade="BF"/>
          </w:tcPr>
          <w:p w14:paraId="5041F567" w14:textId="77777777" w:rsidR="00BA1D48" w:rsidRPr="00BA1D48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17365D" w:themeFill="text2" w:themeFillShade="BF"/>
          </w:tcPr>
          <w:p w14:paraId="0D70404C" w14:textId="77777777" w:rsidR="00BA1D48" w:rsidRPr="00BA1D48" w:rsidRDefault="00BA1D48" w:rsidP="0010565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518" w:type="dxa"/>
            <w:shd w:val="clear" w:color="auto" w:fill="17365D" w:themeFill="text2" w:themeFillShade="BF"/>
          </w:tcPr>
          <w:p w14:paraId="265F48DA" w14:textId="77777777" w:rsidR="00BA1D48" w:rsidRPr="00F234C5" w:rsidRDefault="00BA1D48" w:rsidP="00786BDE">
            <w:pPr>
              <w:rPr>
                <w:b/>
                <w:szCs w:val="22"/>
              </w:rPr>
            </w:pPr>
            <w:r w:rsidRPr="00F234C5">
              <w:rPr>
                <w:b/>
                <w:szCs w:val="22"/>
              </w:rPr>
              <w:t>Per server</w:t>
            </w:r>
          </w:p>
        </w:tc>
        <w:tc>
          <w:tcPr>
            <w:tcW w:w="2518" w:type="dxa"/>
            <w:shd w:val="clear" w:color="auto" w:fill="17365D" w:themeFill="text2" w:themeFillShade="BF"/>
          </w:tcPr>
          <w:p w14:paraId="307A913D" w14:textId="77777777" w:rsidR="00BA1D48" w:rsidRPr="00F234C5" w:rsidRDefault="00BA1D48" w:rsidP="00786BDE">
            <w:pPr>
              <w:rPr>
                <w:b/>
                <w:szCs w:val="22"/>
              </w:rPr>
            </w:pPr>
            <w:r w:rsidRPr="00F234C5">
              <w:rPr>
                <w:b/>
                <w:szCs w:val="22"/>
              </w:rPr>
              <w:t>Specific tasks</w:t>
            </w:r>
          </w:p>
        </w:tc>
      </w:tr>
      <w:tr w:rsidR="00BA1D48" w:rsidRPr="001A3E00" w14:paraId="607ADBE0" w14:textId="77777777" w:rsidTr="001A3E00">
        <w:tc>
          <w:tcPr>
            <w:tcW w:w="2520" w:type="dxa"/>
            <w:shd w:val="clear" w:color="auto" w:fill="auto"/>
          </w:tcPr>
          <w:p w14:paraId="6E919880" w14:textId="77777777" w:rsidR="00BA1D48" w:rsidRPr="001A3E00" w:rsidRDefault="00BA1D48" w:rsidP="001A3E00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Application / Software</w:t>
            </w:r>
          </w:p>
        </w:tc>
        <w:tc>
          <w:tcPr>
            <w:tcW w:w="1902" w:type="dxa"/>
            <w:shd w:val="clear" w:color="auto" w:fill="auto"/>
          </w:tcPr>
          <w:p w14:paraId="6294698C" w14:textId="77777777" w:rsidR="00BA1D48" w:rsidRPr="001A3E00" w:rsidRDefault="00BA1D48" w:rsidP="0010565E">
            <w:pPr>
              <w:rPr>
                <w:rFonts w:cs="Arial"/>
                <w:szCs w:val="22"/>
              </w:rPr>
            </w:pPr>
            <w:r w:rsidRPr="001A3E00">
              <w:rPr>
                <w:rFonts w:cs="Arial"/>
                <w:szCs w:val="22"/>
              </w:rPr>
              <w:t>Software</w:t>
            </w:r>
          </w:p>
          <w:p w14:paraId="72A21438" w14:textId="77777777" w:rsidR="00BA1D48" w:rsidRPr="001A3E00" w:rsidRDefault="00BA1D48" w:rsidP="001A3E00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4EEEABEB" w14:textId="6E051149" w:rsidR="00BA1D48" w:rsidRPr="00BA1D48" w:rsidRDefault="000E2617" w:rsidP="001A3E00">
            <w:pPr>
              <w:rPr>
                <w:szCs w:val="22"/>
              </w:rPr>
            </w:pPr>
            <w:r>
              <w:rPr>
                <w:szCs w:val="22"/>
              </w:rPr>
              <w:t>Menumark</w:t>
            </w:r>
            <w:r w:rsidR="00D27D09">
              <w:rPr>
                <w:szCs w:val="22"/>
              </w:rPr>
              <w:t xml:space="preserve"> (version tbc)</w:t>
            </w:r>
          </w:p>
        </w:tc>
        <w:tc>
          <w:tcPr>
            <w:tcW w:w="2518" w:type="dxa"/>
            <w:shd w:val="clear" w:color="auto" w:fill="auto"/>
          </w:tcPr>
          <w:p w14:paraId="35462EB6" w14:textId="12454F54" w:rsidR="00BA1D48" w:rsidRPr="00BA1D48" w:rsidRDefault="009B0B15" w:rsidP="0010565E">
            <w:pPr>
              <w:rPr>
                <w:szCs w:val="22"/>
              </w:rPr>
            </w:pPr>
            <w:r>
              <w:rPr>
                <w:szCs w:val="22"/>
              </w:rPr>
              <w:t>Not being upgraded</w:t>
            </w:r>
          </w:p>
        </w:tc>
      </w:tr>
      <w:tr w:rsidR="00BA1D48" w:rsidRPr="001A3E00" w14:paraId="45594960" w14:textId="77777777" w:rsidTr="001A3E00">
        <w:tc>
          <w:tcPr>
            <w:tcW w:w="2520" w:type="dxa"/>
            <w:vMerge w:val="restart"/>
            <w:shd w:val="clear" w:color="auto" w:fill="auto"/>
          </w:tcPr>
          <w:p w14:paraId="6451FF75" w14:textId="77777777" w:rsidR="00BA1D48" w:rsidRPr="001A3E00" w:rsidRDefault="00BA1D48" w:rsidP="001A3E00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Network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38C2189A" w14:textId="77777777" w:rsidR="00BA1D48" w:rsidRPr="001A3E00" w:rsidRDefault="00BA1D48" w:rsidP="0010565E">
            <w:pPr>
              <w:rPr>
                <w:rFonts w:cs="Arial"/>
                <w:szCs w:val="22"/>
              </w:rPr>
            </w:pPr>
            <w:r w:rsidRPr="001A3E00">
              <w:rPr>
                <w:rFonts w:cs="Arial"/>
                <w:szCs w:val="22"/>
              </w:rPr>
              <w:t>Remote access</w:t>
            </w:r>
          </w:p>
          <w:p w14:paraId="09369168" w14:textId="77777777" w:rsidR="00BA1D48" w:rsidRPr="001A3E00" w:rsidRDefault="00BA1D48" w:rsidP="001A3E00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0D7504DF" w14:textId="77777777" w:rsidR="00BA1D48" w:rsidRPr="001A3E00" w:rsidRDefault="00BA1D48" w:rsidP="001A3E00">
            <w:pPr>
              <w:rPr>
                <w:szCs w:val="22"/>
              </w:rPr>
            </w:pPr>
            <w:r w:rsidRPr="001A3E00">
              <w:rPr>
                <w:szCs w:val="22"/>
              </w:rPr>
              <w:t>URL</w:t>
            </w:r>
          </w:p>
        </w:tc>
        <w:tc>
          <w:tcPr>
            <w:tcW w:w="2518" w:type="dxa"/>
            <w:shd w:val="clear" w:color="auto" w:fill="auto"/>
          </w:tcPr>
          <w:p w14:paraId="5D489A6E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6C7776D3" w14:textId="77777777" w:rsidTr="001A3E00">
        <w:tc>
          <w:tcPr>
            <w:tcW w:w="2520" w:type="dxa"/>
            <w:vMerge/>
            <w:shd w:val="clear" w:color="auto" w:fill="auto"/>
          </w:tcPr>
          <w:p w14:paraId="0D60B26F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1A9F589" w14:textId="77777777" w:rsidR="00BA1D48" w:rsidRPr="001A3E00" w:rsidRDefault="00BA1D48" w:rsidP="0010565E">
            <w:pPr>
              <w:rPr>
                <w:rFonts w:cs="Arial"/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003D5EDE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Service account name</w:t>
            </w:r>
          </w:p>
        </w:tc>
        <w:tc>
          <w:tcPr>
            <w:tcW w:w="2518" w:type="dxa"/>
            <w:shd w:val="clear" w:color="auto" w:fill="auto"/>
          </w:tcPr>
          <w:p w14:paraId="4D6D12CF" w14:textId="42361D3E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7097890A" w14:textId="77777777" w:rsidTr="001A3E00">
        <w:tc>
          <w:tcPr>
            <w:tcW w:w="2520" w:type="dxa"/>
            <w:vMerge/>
            <w:shd w:val="clear" w:color="auto" w:fill="auto"/>
          </w:tcPr>
          <w:p w14:paraId="3E166CE5" w14:textId="77777777" w:rsidR="00BA1D48" w:rsidRPr="001A3E00" w:rsidRDefault="00BA1D48" w:rsidP="001A3E00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7D5C6AEC" w14:textId="77777777" w:rsidR="00BA1D48" w:rsidRPr="001A3E00" w:rsidRDefault="00BA1D48" w:rsidP="001A3E00">
            <w:pPr>
              <w:rPr>
                <w:szCs w:val="22"/>
              </w:rPr>
            </w:pPr>
            <w:r w:rsidRPr="001A3E00">
              <w:rPr>
                <w:szCs w:val="22"/>
              </w:rPr>
              <w:t>Firewalls</w:t>
            </w:r>
          </w:p>
        </w:tc>
        <w:tc>
          <w:tcPr>
            <w:tcW w:w="2518" w:type="dxa"/>
            <w:shd w:val="clear" w:color="auto" w:fill="auto"/>
          </w:tcPr>
          <w:p w14:paraId="5D7EE8DA" w14:textId="08B2F56A" w:rsidR="00BA1D48" w:rsidRPr="001A3E00" w:rsidRDefault="00BA1D48" w:rsidP="005C7FA3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68B7DC9E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314FFE0D" w14:textId="77777777" w:rsidTr="001A3E00">
        <w:tc>
          <w:tcPr>
            <w:tcW w:w="2520" w:type="dxa"/>
            <w:vMerge/>
            <w:shd w:val="clear" w:color="auto" w:fill="auto"/>
          </w:tcPr>
          <w:p w14:paraId="00713734" w14:textId="77777777" w:rsidR="00BA1D48" w:rsidRPr="001A3E00" w:rsidRDefault="00BA1D48" w:rsidP="001A3E00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125F6F08" w14:textId="77777777" w:rsidR="00BA1D48" w:rsidRPr="001A3E00" w:rsidRDefault="00BA1D48" w:rsidP="00C50E23">
            <w:pPr>
              <w:rPr>
                <w:szCs w:val="22"/>
              </w:rPr>
            </w:pPr>
            <w:r w:rsidRPr="001A3E00">
              <w:rPr>
                <w:szCs w:val="22"/>
              </w:rPr>
              <w:t>Ports:</w:t>
            </w:r>
          </w:p>
          <w:p w14:paraId="72332EAA" w14:textId="77777777" w:rsidR="00BA1D48" w:rsidRPr="001A3E00" w:rsidRDefault="00BA1D48" w:rsidP="00C50E23">
            <w:pPr>
              <w:rPr>
                <w:szCs w:val="22"/>
              </w:rPr>
            </w:pPr>
            <w:r w:rsidRPr="001A3E00">
              <w:rPr>
                <w:szCs w:val="22"/>
              </w:rPr>
              <w:t>Inbound</w:t>
            </w:r>
          </w:p>
          <w:p w14:paraId="30923445" w14:textId="77777777" w:rsidR="00BA1D48" w:rsidRPr="001A3E00" w:rsidRDefault="00BA1D48" w:rsidP="001A3E00">
            <w:pPr>
              <w:rPr>
                <w:szCs w:val="22"/>
              </w:rPr>
            </w:pPr>
            <w:r w:rsidRPr="001A3E00">
              <w:rPr>
                <w:szCs w:val="22"/>
              </w:rPr>
              <w:t>Outbound</w:t>
            </w:r>
          </w:p>
        </w:tc>
        <w:tc>
          <w:tcPr>
            <w:tcW w:w="2518" w:type="dxa"/>
            <w:shd w:val="clear" w:color="auto" w:fill="auto"/>
          </w:tcPr>
          <w:p w14:paraId="516231A6" w14:textId="77777777" w:rsidR="00BA1D48" w:rsidRDefault="00BA1D48" w:rsidP="001A3E00">
            <w:pPr>
              <w:rPr>
                <w:szCs w:val="22"/>
              </w:rPr>
            </w:pPr>
          </w:p>
          <w:p w14:paraId="73EC0AB6" w14:textId="7C081934" w:rsidR="008F2F08" w:rsidRPr="001A3E00" w:rsidRDefault="008F2F08" w:rsidP="001A3E00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4163EB8B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033A24B6" w14:textId="77777777" w:rsidTr="001A3E00">
        <w:tc>
          <w:tcPr>
            <w:tcW w:w="2520" w:type="dxa"/>
            <w:shd w:val="clear" w:color="auto" w:fill="auto"/>
          </w:tcPr>
          <w:p w14:paraId="64D2084B" w14:textId="77777777" w:rsidR="00BA1D48" w:rsidRPr="001A3E00" w:rsidRDefault="00BA1D48" w:rsidP="0010565E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Infrastructure</w:t>
            </w:r>
          </w:p>
        </w:tc>
        <w:tc>
          <w:tcPr>
            <w:tcW w:w="1902" w:type="dxa"/>
            <w:shd w:val="clear" w:color="auto" w:fill="auto"/>
          </w:tcPr>
          <w:p w14:paraId="689521B3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Server name(s)</w:t>
            </w:r>
          </w:p>
        </w:tc>
        <w:tc>
          <w:tcPr>
            <w:tcW w:w="2518" w:type="dxa"/>
            <w:shd w:val="clear" w:color="auto" w:fill="auto"/>
          </w:tcPr>
          <w:p w14:paraId="3C3AC4EB" w14:textId="648E2816" w:rsidR="00BA1D48" w:rsidRPr="001A3E00" w:rsidRDefault="009B0B15" w:rsidP="00BD31D9">
            <w:pPr>
              <w:rPr>
                <w:szCs w:val="22"/>
              </w:rPr>
            </w:pPr>
            <w:r w:rsidRPr="009B0B15">
              <w:rPr>
                <w:szCs w:val="22"/>
              </w:rPr>
              <w:t>Windows Server 2016</w:t>
            </w:r>
            <w:r w:rsidR="00BD31D9">
              <w:rPr>
                <w:szCs w:val="22"/>
              </w:rPr>
              <w:t>;</w:t>
            </w:r>
            <w:r w:rsidR="007B649B">
              <w:rPr>
                <w:szCs w:val="22"/>
              </w:rPr>
              <w:t xml:space="preserve"> </w:t>
            </w:r>
            <w:r w:rsidR="000E2617">
              <w:rPr>
                <w:szCs w:val="22"/>
              </w:rPr>
              <w:t>12</w:t>
            </w:r>
            <w:r w:rsidRPr="009B0B15">
              <w:rPr>
                <w:szCs w:val="22"/>
              </w:rPr>
              <w:t>GB RAM</w:t>
            </w:r>
          </w:p>
        </w:tc>
        <w:tc>
          <w:tcPr>
            <w:tcW w:w="2518" w:type="dxa"/>
            <w:shd w:val="clear" w:color="auto" w:fill="auto"/>
          </w:tcPr>
          <w:p w14:paraId="35A12CA2" w14:textId="33861289" w:rsidR="00BA1D48" w:rsidRPr="001A3E00" w:rsidRDefault="00BA1D48" w:rsidP="009B0B15">
            <w:pPr>
              <w:rPr>
                <w:szCs w:val="22"/>
              </w:rPr>
            </w:pPr>
          </w:p>
        </w:tc>
      </w:tr>
      <w:tr w:rsidR="00BA1D48" w:rsidRPr="001A3E00" w14:paraId="79B7744A" w14:textId="77777777" w:rsidTr="001A3E00">
        <w:tc>
          <w:tcPr>
            <w:tcW w:w="2520" w:type="dxa"/>
            <w:shd w:val="clear" w:color="auto" w:fill="auto"/>
          </w:tcPr>
          <w:p w14:paraId="689F1622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3A210327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IP address(es)</w:t>
            </w:r>
          </w:p>
        </w:tc>
        <w:tc>
          <w:tcPr>
            <w:tcW w:w="2518" w:type="dxa"/>
            <w:shd w:val="clear" w:color="auto" w:fill="auto"/>
          </w:tcPr>
          <w:p w14:paraId="1F82AFC2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739D6EFA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525BF5B0" w14:textId="77777777" w:rsidTr="001A3E00">
        <w:tc>
          <w:tcPr>
            <w:tcW w:w="2520" w:type="dxa"/>
            <w:shd w:val="clear" w:color="auto" w:fill="auto"/>
          </w:tcPr>
          <w:p w14:paraId="0DF5244F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107EB40F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67CE5041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70E9BF47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5DBD53B1" w14:textId="77777777" w:rsidTr="001A3E00">
        <w:tc>
          <w:tcPr>
            <w:tcW w:w="2520" w:type="dxa"/>
            <w:shd w:val="clear" w:color="auto" w:fill="auto"/>
          </w:tcPr>
          <w:p w14:paraId="2CED342F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22F7C159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15C137BF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308447A5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1018E603" w14:textId="77777777" w:rsidTr="001A3E00">
        <w:tc>
          <w:tcPr>
            <w:tcW w:w="2520" w:type="dxa"/>
            <w:shd w:val="clear" w:color="auto" w:fill="auto"/>
          </w:tcPr>
          <w:p w14:paraId="43408378" w14:textId="77777777" w:rsidR="00BA1D48" w:rsidRPr="001A3E00" w:rsidRDefault="00BA1D48" w:rsidP="00C50E23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Data</w:t>
            </w:r>
          </w:p>
        </w:tc>
        <w:tc>
          <w:tcPr>
            <w:tcW w:w="1902" w:type="dxa"/>
            <w:shd w:val="clear" w:color="auto" w:fill="auto"/>
          </w:tcPr>
          <w:p w14:paraId="1D006817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SQL server</w:t>
            </w:r>
          </w:p>
        </w:tc>
        <w:tc>
          <w:tcPr>
            <w:tcW w:w="2518" w:type="dxa"/>
            <w:shd w:val="clear" w:color="auto" w:fill="auto"/>
          </w:tcPr>
          <w:p w14:paraId="33A5F77F" w14:textId="342D99EF" w:rsidR="00BA1D48" w:rsidRPr="001A3E00" w:rsidRDefault="007B649B" w:rsidP="003B0D01">
            <w:pPr>
              <w:rPr>
                <w:szCs w:val="22"/>
              </w:rPr>
            </w:pPr>
            <w:r>
              <w:rPr>
                <w:szCs w:val="22"/>
              </w:rPr>
              <w:t>SQL Server 2019</w:t>
            </w:r>
            <w:r w:rsidR="000E2617">
              <w:rPr>
                <w:szCs w:val="22"/>
              </w:rPr>
              <w:t xml:space="preserve"> full edition</w:t>
            </w:r>
          </w:p>
        </w:tc>
        <w:tc>
          <w:tcPr>
            <w:tcW w:w="2518" w:type="dxa"/>
            <w:shd w:val="clear" w:color="auto" w:fill="auto"/>
          </w:tcPr>
          <w:p w14:paraId="0114A55F" w14:textId="43F74707" w:rsidR="00BA1D48" w:rsidRPr="001A3E00" w:rsidRDefault="008F2F08" w:rsidP="0010565E">
            <w:pPr>
              <w:rPr>
                <w:szCs w:val="22"/>
              </w:rPr>
            </w:pPr>
            <w:r>
              <w:rPr>
                <w:szCs w:val="22"/>
              </w:rPr>
              <w:t>Installation and configuration</w:t>
            </w:r>
          </w:p>
        </w:tc>
      </w:tr>
      <w:tr w:rsidR="00BA1D48" w:rsidRPr="001A3E00" w14:paraId="5F99B095" w14:textId="77777777" w:rsidTr="001A3E00">
        <w:tc>
          <w:tcPr>
            <w:tcW w:w="2520" w:type="dxa"/>
            <w:shd w:val="clear" w:color="auto" w:fill="auto"/>
          </w:tcPr>
          <w:p w14:paraId="263CB2EC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01A8BEB3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Database name</w:t>
            </w:r>
          </w:p>
        </w:tc>
        <w:tc>
          <w:tcPr>
            <w:tcW w:w="2518" w:type="dxa"/>
            <w:shd w:val="clear" w:color="auto" w:fill="auto"/>
          </w:tcPr>
          <w:p w14:paraId="41A88247" w14:textId="1D57D284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789AA430" w14:textId="3CD4652A" w:rsidR="00BA1D48" w:rsidRPr="001A3E00" w:rsidRDefault="008F2F08" w:rsidP="0010565E">
            <w:pPr>
              <w:rPr>
                <w:szCs w:val="22"/>
              </w:rPr>
            </w:pPr>
            <w:r>
              <w:rPr>
                <w:szCs w:val="22"/>
              </w:rPr>
              <w:t>Export from old / import to new server</w:t>
            </w:r>
          </w:p>
        </w:tc>
      </w:tr>
      <w:tr w:rsidR="00BA1D48" w:rsidRPr="001A3E00" w14:paraId="5A569BDC" w14:textId="77777777" w:rsidTr="001A3E00">
        <w:tc>
          <w:tcPr>
            <w:tcW w:w="2520" w:type="dxa"/>
            <w:shd w:val="clear" w:color="auto" w:fill="auto"/>
          </w:tcPr>
          <w:p w14:paraId="26183ABE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0A92531C" w14:textId="77777777" w:rsidR="00BA1D48" w:rsidRPr="001A3E00" w:rsidRDefault="00BA1D48" w:rsidP="0010565E">
            <w:pPr>
              <w:rPr>
                <w:color w:val="FF0000"/>
                <w:szCs w:val="22"/>
              </w:rPr>
            </w:pPr>
            <w:r w:rsidRPr="00BA1D48">
              <w:rPr>
                <w:szCs w:val="22"/>
              </w:rPr>
              <w:t>Supplier requirements – tech spec</w:t>
            </w:r>
          </w:p>
        </w:tc>
        <w:tc>
          <w:tcPr>
            <w:tcW w:w="2518" w:type="dxa"/>
            <w:shd w:val="clear" w:color="auto" w:fill="auto"/>
          </w:tcPr>
          <w:p w14:paraId="2A8B029C" w14:textId="4D33CDD2" w:rsidR="00BA1D48" w:rsidRPr="00BD31D9" w:rsidRDefault="00BA1D48" w:rsidP="0010565E"/>
        </w:tc>
        <w:tc>
          <w:tcPr>
            <w:tcW w:w="2518" w:type="dxa"/>
            <w:shd w:val="clear" w:color="auto" w:fill="auto"/>
          </w:tcPr>
          <w:p w14:paraId="31EFDF4F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5F0AED53" w14:textId="77777777" w:rsidTr="001A3E00">
        <w:tc>
          <w:tcPr>
            <w:tcW w:w="2520" w:type="dxa"/>
            <w:shd w:val="clear" w:color="auto" w:fill="auto"/>
          </w:tcPr>
          <w:p w14:paraId="47A62FAC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4D7FB0C6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Data security</w:t>
            </w:r>
          </w:p>
        </w:tc>
        <w:tc>
          <w:tcPr>
            <w:tcW w:w="2518" w:type="dxa"/>
            <w:shd w:val="clear" w:color="auto" w:fill="auto"/>
          </w:tcPr>
          <w:p w14:paraId="36AD8D39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3B0F8FC3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132D0EA6" w14:textId="77777777" w:rsidTr="001A3E00">
        <w:tc>
          <w:tcPr>
            <w:tcW w:w="2520" w:type="dxa"/>
            <w:shd w:val="clear" w:color="auto" w:fill="auto"/>
          </w:tcPr>
          <w:p w14:paraId="413F7FEA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3C1B0A07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Disaster recovery</w:t>
            </w:r>
          </w:p>
        </w:tc>
        <w:tc>
          <w:tcPr>
            <w:tcW w:w="2518" w:type="dxa"/>
            <w:shd w:val="clear" w:color="auto" w:fill="auto"/>
          </w:tcPr>
          <w:p w14:paraId="745C7619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1A2B88D5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5C795005" w14:textId="77777777" w:rsidTr="001A3E00">
        <w:tc>
          <w:tcPr>
            <w:tcW w:w="2520" w:type="dxa"/>
            <w:shd w:val="clear" w:color="auto" w:fill="auto"/>
          </w:tcPr>
          <w:p w14:paraId="4297C3C8" w14:textId="77777777" w:rsidR="00BA1D48" w:rsidRPr="001A3E00" w:rsidRDefault="00BA1D48" w:rsidP="0010565E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Storage</w:t>
            </w:r>
          </w:p>
        </w:tc>
        <w:tc>
          <w:tcPr>
            <w:tcW w:w="1902" w:type="dxa"/>
            <w:shd w:val="clear" w:color="auto" w:fill="auto"/>
          </w:tcPr>
          <w:p w14:paraId="533EA273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Capacity</w:t>
            </w:r>
          </w:p>
        </w:tc>
        <w:tc>
          <w:tcPr>
            <w:tcW w:w="2518" w:type="dxa"/>
            <w:shd w:val="clear" w:color="auto" w:fill="auto"/>
          </w:tcPr>
          <w:p w14:paraId="2E7159E2" w14:textId="77777777" w:rsidR="000E2617" w:rsidRPr="000E2617" w:rsidRDefault="000E2617" w:rsidP="000E2617">
            <w:pPr>
              <w:rPr>
                <w:szCs w:val="22"/>
              </w:rPr>
            </w:pPr>
            <w:r w:rsidRPr="000E2617">
              <w:rPr>
                <w:szCs w:val="22"/>
              </w:rPr>
              <w:t>1 x Primary of 80 GB</w:t>
            </w:r>
          </w:p>
          <w:p w14:paraId="4D91EEE5" w14:textId="77777777" w:rsidR="000E2617" w:rsidRPr="000E2617" w:rsidRDefault="000E2617" w:rsidP="000E2617">
            <w:pPr>
              <w:rPr>
                <w:szCs w:val="22"/>
              </w:rPr>
            </w:pPr>
            <w:r w:rsidRPr="000E2617">
              <w:rPr>
                <w:szCs w:val="22"/>
              </w:rPr>
              <w:t>1 x Secondary for storage of SQL Data of 200 GB</w:t>
            </w:r>
          </w:p>
          <w:p w14:paraId="24EB0AF8" w14:textId="46D10107" w:rsidR="008F2F08" w:rsidRPr="001A3E00" w:rsidRDefault="000E2617" w:rsidP="000E2617">
            <w:pPr>
              <w:rPr>
                <w:szCs w:val="22"/>
              </w:rPr>
            </w:pPr>
            <w:r w:rsidRPr="000E2617">
              <w:rPr>
                <w:szCs w:val="22"/>
              </w:rPr>
              <w:t>1 x T</w:t>
            </w:r>
            <w:r>
              <w:rPr>
                <w:szCs w:val="22"/>
              </w:rPr>
              <w:t>ertiary</w:t>
            </w:r>
            <w:r w:rsidRPr="000E2617">
              <w:rPr>
                <w:szCs w:val="22"/>
              </w:rPr>
              <w:t xml:space="preserve"> for SQL backups of 200 GB</w:t>
            </w:r>
          </w:p>
        </w:tc>
        <w:tc>
          <w:tcPr>
            <w:tcW w:w="2518" w:type="dxa"/>
            <w:shd w:val="clear" w:color="auto" w:fill="auto"/>
          </w:tcPr>
          <w:p w14:paraId="681082DD" w14:textId="35862CCD" w:rsidR="003E56F8" w:rsidRPr="001A3E00" w:rsidRDefault="003E56F8" w:rsidP="0010565E">
            <w:pPr>
              <w:rPr>
                <w:szCs w:val="22"/>
              </w:rPr>
            </w:pPr>
          </w:p>
        </w:tc>
      </w:tr>
      <w:tr w:rsidR="00BA1D48" w:rsidRPr="001A3E00" w14:paraId="0381244E" w14:textId="77777777" w:rsidTr="001A3E00">
        <w:tc>
          <w:tcPr>
            <w:tcW w:w="2520" w:type="dxa"/>
            <w:shd w:val="clear" w:color="auto" w:fill="auto"/>
          </w:tcPr>
          <w:p w14:paraId="34FFB3B2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509D925F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Type</w:t>
            </w:r>
          </w:p>
        </w:tc>
        <w:tc>
          <w:tcPr>
            <w:tcW w:w="2518" w:type="dxa"/>
            <w:shd w:val="clear" w:color="auto" w:fill="auto"/>
          </w:tcPr>
          <w:p w14:paraId="48053721" w14:textId="484F904F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0B20C70E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10F4F36A" w14:textId="77777777" w:rsidTr="001A3E00">
        <w:tc>
          <w:tcPr>
            <w:tcW w:w="2520" w:type="dxa"/>
            <w:shd w:val="clear" w:color="auto" w:fill="auto"/>
          </w:tcPr>
          <w:p w14:paraId="0C5A6B01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03C7AE5A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1E7873E3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0E027FFE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4B8CBFF1" w14:textId="77777777" w:rsidTr="001A3E00">
        <w:tc>
          <w:tcPr>
            <w:tcW w:w="2520" w:type="dxa"/>
            <w:shd w:val="clear" w:color="auto" w:fill="auto"/>
          </w:tcPr>
          <w:p w14:paraId="202AEF91" w14:textId="77777777" w:rsidR="00BA1D48" w:rsidRPr="001A3E00" w:rsidRDefault="00BA1D48" w:rsidP="001A3E00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Integration</w:t>
            </w:r>
          </w:p>
        </w:tc>
        <w:tc>
          <w:tcPr>
            <w:tcW w:w="1902" w:type="dxa"/>
            <w:shd w:val="clear" w:color="auto" w:fill="auto"/>
          </w:tcPr>
          <w:p w14:paraId="2A356126" w14:textId="77777777" w:rsidR="00BA1D48" w:rsidRPr="001A3E00" w:rsidRDefault="00BA1D48" w:rsidP="001A3E00">
            <w:pPr>
              <w:rPr>
                <w:szCs w:val="22"/>
              </w:rPr>
            </w:pPr>
            <w:r w:rsidRPr="001A3E00">
              <w:rPr>
                <w:rFonts w:cs="Arial"/>
                <w:szCs w:val="22"/>
              </w:rPr>
              <w:t>Messaging services</w:t>
            </w:r>
          </w:p>
        </w:tc>
        <w:tc>
          <w:tcPr>
            <w:tcW w:w="2518" w:type="dxa"/>
            <w:shd w:val="clear" w:color="auto" w:fill="auto"/>
          </w:tcPr>
          <w:p w14:paraId="5CDCAF9E" w14:textId="77777777" w:rsidR="00BA1D48" w:rsidRPr="001A3E00" w:rsidRDefault="00BA1D48" w:rsidP="001A3E00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194A1ED0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594D3B62" w14:textId="77777777" w:rsidTr="001A3E00">
        <w:tc>
          <w:tcPr>
            <w:tcW w:w="2520" w:type="dxa"/>
            <w:shd w:val="clear" w:color="auto" w:fill="auto"/>
          </w:tcPr>
          <w:p w14:paraId="71AC6B19" w14:textId="77777777" w:rsidR="00BA1D48" w:rsidRPr="001A3E00" w:rsidRDefault="00BA1D48" w:rsidP="001A3E00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Security</w:t>
            </w:r>
          </w:p>
        </w:tc>
        <w:tc>
          <w:tcPr>
            <w:tcW w:w="1902" w:type="dxa"/>
            <w:shd w:val="clear" w:color="auto" w:fill="auto"/>
          </w:tcPr>
          <w:p w14:paraId="7E958328" w14:textId="77777777" w:rsidR="00BA1D48" w:rsidRPr="001A3E00" w:rsidRDefault="00BA1D48" w:rsidP="001A3E00">
            <w:pPr>
              <w:rPr>
                <w:szCs w:val="22"/>
              </w:rPr>
            </w:pPr>
            <w:r w:rsidRPr="001A3E00">
              <w:rPr>
                <w:szCs w:val="22"/>
              </w:rPr>
              <w:t>Security</w:t>
            </w:r>
          </w:p>
        </w:tc>
        <w:tc>
          <w:tcPr>
            <w:tcW w:w="2518" w:type="dxa"/>
            <w:shd w:val="clear" w:color="auto" w:fill="auto"/>
          </w:tcPr>
          <w:p w14:paraId="48D59715" w14:textId="77777777" w:rsidR="00BA1D48" w:rsidRPr="001A3E00" w:rsidRDefault="00BA1D48" w:rsidP="001A3E00">
            <w:pPr>
              <w:rPr>
                <w:szCs w:val="22"/>
              </w:rPr>
            </w:pPr>
            <w:r w:rsidRPr="001A3E00">
              <w:rPr>
                <w:szCs w:val="22"/>
              </w:rPr>
              <w:t>Patch management</w:t>
            </w:r>
          </w:p>
        </w:tc>
        <w:tc>
          <w:tcPr>
            <w:tcW w:w="2518" w:type="dxa"/>
            <w:shd w:val="clear" w:color="auto" w:fill="auto"/>
          </w:tcPr>
          <w:p w14:paraId="4511DCB7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7C4BDAE4" w14:textId="77777777" w:rsidTr="001A3E00">
        <w:tc>
          <w:tcPr>
            <w:tcW w:w="2520" w:type="dxa"/>
            <w:shd w:val="clear" w:color="auto" w:fill="auto"/>
          </w:tcPr>
          <w:p w14:paraId="02EC15D1" w14:textId="77777777" w:rsidR="00BA1D48" w:rsidRPr="001A3E00" w:rsidRDefault="00BA1D48" w:rsidP="001A3E00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360DA607" w14:textId="77777777" w:rsidR="00BA1D48" w:rsidRPr="001A3E00" w:rsidRDefault="00BA1D48" w:rsidP="001A3E00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44A72FBD" w14:textId="77777777" w:rsidR="00BA1D48" w:rsidRPr="001A3E00" w:rsidRDefault="00BA1D48" w:rsidP="001A3E00">
            <w:pPr>
              <w:rPr>
                <w:szCs w:val="22"/>
              </w:rPr>
            </w:pPr>
            <w:r w:rsidRPr="001A3E00">
              <w:rPr>
                <w:szCs w:val="22"/>
              </w:rPr>
              <w:t>Penetration testing</w:t>
            </w:r>
          </w:p>
        </w:tc>
        <w:tc>
          <w:tcPr>
            <w:tcW w:w="2518" w:type="dxa"/>
            <w:shd w:val="clear" w:color="auto" w:fill="auto"/>
          </w:tcPr>
          <w:p w14:paraId="5CDF444B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673495D5" w14:textId="77777777" w:rsidTr="001A3E00">
        <w:tc>
          <w:tcPr>
            <w:tcW w:w="2520" w:type="dxa"/>
            <w:shd w:val="clear" w:color="auto" w:fill="auto"/>
          </w:tcPr>
          <w:p w14:paraId="05196161" w14:textId="77777777" w:rsidR="00BA1D48" w:rsidRPr="001A3E00" w:rsidRDefault="00BA1D48" w:rsidP="001A3E00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39B98627" w14:textId="77777777" w:rsidR="00BA1D48" w:rsidRPr="001A3E00" w:rsidRDefault="00BA1D48" w:rsidP="001A3E00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1D5C5DB0" w14:textId="77777777" w:rsidR="00BA1D48" w:rsidRPr="001A3E00" w:rsidRDefault="00BA1D48" w:rsidP="001A3E00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7B82E267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0D8069B2" w14:textId="77777777" w:rsidTr="001A3E00">
        <w:tc>
          <w:tcPr>
            <w:tcW w:w="2520" w:type="dxa"/>
            <w:shd w:val="clear" w:color="auto" w:fill="auto"/>
          </w:tcPr>
          <w:p w14:paraId="6764F580" w14:textId="77777777" w:rsidR="00BA1D48" w:rsidRPr="001A3E00" w:rsidRDefault="00BA1D48" w:rsidP="001A3E00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Application support</w:t>
            </w:r>
          </w:p>
        </w:tc>
        <w:tc>
          <w:tcPr>
            <w:tcW w:w="1902" w:type="dxa"/>
            <w:shd w:val="clear" w:color="auto" w:fill="auto"/>
          </w:tcPr>
          <w:p w14:paraId="272B29A3" w14:textId="77777777" w:rsidR="00BA1D48" w:rsidRPr="001A3E00" w:rsidRDefault="00BA1D48" w:rsidP="001A3E00">
            <w:pPr>
              <w:rPr>
                <w:szCs w:val="22"/>
              </w:rPr>
            </w:pPr>
            <w:r w:rsidRPr="001A3E00">
              <w:rPr>
                <w:szCs w:val="22"/>
              </w:rPr>
              <w:t>Account management</w:t>
            </w:r>
          </w:p>
        </w:tc>
        <w:tc>
          <w:tcPr>
            <w:tcW w:w="2518" w:type="dxa"/>
            <w:shd w:val="clear" w:color="auto" w:fill="auto"/>
          </w:tcPr>
          <w:p w14:paraId="3DE9088A" w14:textId="2F60057C" w:rsidR="00BA1D48" w:rsidRPr="001A3E00" w:rsidRDefault="00BA1D48" w:rsidP="001A3E00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2FF9640F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2CA2EF01" w14:textId="77777777" w:rsidTr="001A3E00">
        <w:tc>
          <w:tcPr>
            <w:tcW w:w="2520" w:type="dxa"/>
            <w:shd w:val="clear" w:color="auto" w:fill="auto"/>
          </w:tcPr>
          <w:p w14:paraId="126387C4" w14:textId="77777777" w:rsidR="00BA1D48" w:rsidRPr="001A3E00" w:rsidRDefault="00BA1D48" w:rsidP="0010565E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Desktop</w:t>
            </w:r>
          </w:p>
        </w:tc>
        <w:tc>
          <w:tcPr>
            <w:tcW w:w="1902" w:type="dxa"/>
            <w:shd w:val="clear" w:color="auto" w:fill="auto"/>
          </w:tcPr>
          <w:p w14:paraId="0F5C233A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5CC02450" w14:textId="11BF3746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523DEC66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41CEF62F" w14:textId="77777777" w:rsidTr="001A3E00">
        <w:tc>
          <w:tcPr>
            <w:tcW w:w="2520" w:type="dxa"/>
            <w:shd w:val="clear" w:color="auto" w:fill="auto"/>
          </w:tcPr>
          <w:p w14:paraId="01B7CD10" w14:textId="77777777" w:rsidR="00BA1D48" w:rsidRPr="001A3E00" w:rsidRDefault="00BA1D48" w:rsidP="0010565E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Helpdesk</w:t>
            </w:r>
          </w:p>
        </w:tc>
        <w:tc>
          <w:tcPr>
            <w:tcW w:w="1902" w:type="dxa"/>
            <w:shd w:val="clear" w:color="auto" w:fill="auto"/>
          </w:tcPr>
          <w:p w14:paraId="03428E2C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2B54D9AC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712F61FC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</w:tbl>
    <w:p w14:paraId="0E9C7C0B" w14:textId="77777777" w:rsidR="008F2F08" w:rsidRDefault="008F2F08" w:rsidP="00ED76AD">
      <w:pPr>
        <w:pStyle w:val="Heading3"/>
        <w:spacing w:before="0"/>
        <w:ind w:left="170"/>
        <w:rPr>
          <w:sz w:val="24"/>
        </w:rPr>
      </w:pPr>
      <w:bookmarkStart w:id="0" w:name="_Toc499798866"/>
    </w:p>
    <w:bookmarkEnd w:id="0"/>
    <w:p w14:paraId="676750C8" w14:textId="246F7354" w:rsidR="00ED76AD" w:rsidRDefault="00ED76AD" w:rsidP="00ED76AD">
      <w:pPr>
        <w:pStyle w:val="Heading3"/>
        <w:spacing w:after="240"/>
      </w:pPr>
      <w:r>
        <w:t>Key Players</w:t>
      </w:r>
    </w:p>
    <w:p w14:paraId="0192E68C" w14:textId="77777777" w:rsidR="00ED76AD" w:rsidRDefault="00FE62E4" w:rsidP="00ED76AD">
      <w:r>
        <w:t>Shaun Littlewood – Servers Refresh PM</w:t>
      </w:r>
    </w:p>
    <w:p w14:paraId="7BA32CD2" w14:textId="3E3831F2" w:rsidR="00FE62E4" w:rsidRDefault="000E2617" w:rsidP="007B649B">
      <w:r>
        <w:t>Jenna Lamonby</w:t>
      </w:r>
      <w:r w:rsidR="007B649B">
        <w:t xml:space="preserve"> </w:t>
      </w:r>
      <w:r>
        <w:t>–</w:t>
      </w:r>
      <w:r w:rsidR="007B649B">
        <w:t xml:space="preserve"> </w:t>
      </w:r>
      <w:r>
        <w:t>Datasym Project Manager</w:t>
      </w:r>
    </w:p>
    <w:p w14:paraId="3DFB7BB0" w14:textId="119A31F3" w:rsidR="00FE62E4" w:rsidRDefault="000E2617" w:rsidP="00BD31D9">
      <w:r>
        <w:t xml:space="preserve">Paul </w:t>
      </w:r>
      <w:proofErr w:type="spellStart"/>
      <w:r>
        <w:t>Straughair</w:t>
      </w:r>
      <w:proofErr w:type="spellEnd"/>
      <w:r w:rsidR="00FE62E4">
        <w:t xml:space="preserve"> </w:t>
      </w:r>
      <w:r>
        <w:t>–</w:t>
      </w:r>
      <w:r w:rsidR="00FE62E4">
        <w:t xml:space="preserve"> </w:t>
      </w:r>
      <w:r>
        <w:t>Catering Manager</w:t>
      </w:r>
    </w:p>
    <w:p w14:paraId="616B4B43" w14:textId="77777777" w:rsidR="00ED76AD" w:rsidRDefault="00ED76AD" w:rsidP="00ED76AD">
      <w:pPr>
        <w:rPr>
          <w:b/>
        </w:rPr>
      </w:pPr>
    </w:p>
    <w:p w14:paraId="6C332294" w14:textId="77777777" w:rsidR="00ED76AD" w:rsidRDefault="00ED76AD" w:rsidP="00ED76AD">
      <w:pPr>
        <w:pStyle w:val="Heading3"/>
        <w:spacing w:after="240"/>
      </w:pPr>
      <w:r>
        <w:lastRenderedPageBreak/>
        <w:t xml:space="preserve">Resources required </w:t>
      </w:r>
    </w:p>
    <w:p w14:paraId="6D403E24" w14:textId="6B18DDB3" w:rsidR="007B649B" w:rsidRDefault="007B649B" w:rsidP="007B649B">
      <w:r>
        <w:t>Infrastructure resource – for server build / migration support</w:t>
      </w:r>
    </w:p>
    <w:p w14:paraId="793AE755" w14:textId="2184B0ED" w:rsidR="007B649B" w:rsidRDefault="007B649B" w:rsidP="007B649B">
      <w:r>
        <w:t>DBA resource – for SQL installation / migration support</w:t>
      </w:r>
    </w:p>
    <w:p w14:paraId="49460542" w14:textId="16E66689" w:rsidR="007B649B" w:rsidRDefault="007B649B" w:rsidP="007B649B">
      <w:r>
        <w:t xml:space="preserve">Network resource – to facilitate </w:t>
      </w:r>
      <w:r w:rsidR="000E2617">
        <w:t>Datasym</w:t>
      </w:r>
      <w:r>
        <w:t xml:space="preserve"> access to new server / migration support</w:t>
      </w:r>
    </w:p>
    <w:p w14:paraId="32BE29E4" w14:textId="53263FEF" w:rsidR="007B649B" w:rsidRDefault="007B649B" w:rsidP="007B649B">
      <w:r>
        <w:t xml:space="preserve">Security resource (tbc) – to amend </w:t>
      </w:r>
      <w:r w:rsidR="000E2617">
        <w:t>Menumark</w:t>
      </w:r>
      <w:r>
        <w:t xml:space="preserve"> installation on workstations (if necessary)</w:t>
      </w:r>
    </w:p>
    <w:p w14:paraId="7D81AD8B" w14:textId="77777777" w:rsidR="0010565E" w:rsidRDefault="00C96CBD" w:rsidP="0010565E">
      <w:pPr>
        <w:pStyle w:val="Heading3"/>
        <w:spacing w:after="240"/>
      </w:pPr>
      <w:r>
        <w:t>Key actions / evidence for compliance</w:t>
      </w:r>
    </w:p>
    <w:p w14:paraId="72EBA41B" w14:textId="77777777" w:rsidR="0010565E" w:rsidRDefault="0010565E" w:rsidP="0010565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1417"/>
        <w:gridCol w:w="2338"/>
      </w:tblGrid>
      <w:tr w:rsidR="0010565E" w14:paraId="2E90EB45" w14:textId="77777777" w:rsidTr="00F234C5">
        <w:tc>
          <w:tcPr>
            <w:tcW w:w="2802" w:type="dxa"/>
            <w:shd w:val="clear" w:color="auto" w:fill="17365D" w:themeFill="text2" w:themeFillShade="BF"/>
          </w:tcPr>
          <w:p w14:paraId="55038E54" w14:textId="77777777" w:rsidR="0010565E" w:rsidRPr="001A3E00" w:rsidRDefault="0010565E" w:rsidP="0010565E">
            <w:pPr>
              <w:rPr>
                <w:b/>
              </w:rPr>
            </w:pPr>
            <w:r w:rsidRPr="001A3E00">
              <w:rPr>
                <w:b/>
              </w:rPr>
              <w:t>What</w:t>
            </w:r>
          </w:p>
        </w:tc>
        <w:tc>
          <w:tcPr>
            <w:tcW w:w="2835" w:type="dxa"/>
            <w:shd w:val="clear" w:color="auto" w:fill="17365D" w:themeFill="text2" w:themeFillShade="BF"/>
          </w:tcPr>
          <w:p w14:paraId="0478035D" w14:textId="77777777" w:rsidR="0010565E" w:rsidRPr="001A3E00" w:rsidRDefault="0010565E" w:rsidP="0010565E">
            <w:pPr>
              <w:rPr>
                <w:b/>
              </w:rPr>
            </w:pPr>
            <w:r w:rsidRPr="001A3E00">
              <w:rPr>
                <w:b/>
              </w:rPr>
              <w:t>Who responsible</w:t>
            </w:r>
          </w:p>
        </w:tc>
        <w:tc>
          <w:tcPr>
            <w:tcW w:w="1417" w:type="dxa"/>
            <w:shd w:val="clear" w:color="auto" w:fill="17365D" w:themeFill="text2" w:themeFillShade="BF"/>
          </w:tcPr>
          <w:p w14:paraId="0B25A7E8" w14:textId="77777777" w:rsidR="0010565E" w:rsidRPr="001A3E00" w:rsidRDefault="0010565E" w:rsidP="0010565E">
            <w:pPr>
              <w:rPr>
                <w:b/>
              </w:rPr>
            </w:pPr>
            <w:r w:rsidRPr="001A3E00">
              <w:rPr>
                <w:b/>
              </w:rPr>
              <w:t>Deadline</w:t>
            </w:r>
          </w:p>
        </w:tc>
        <w:tc>
          <w:tcPr>
            <w:tcW w:w="2338" w:type="dxa"/>
            <w:shd w:val="clear" w:color="auto" w:fill="17365D" w:themeFill="text2" w:themeFillShade="BF"/>
          </w:tcPr>
          <w:p w14:paraId="3EA72DB2" w14:textId="77777777" w:rsidR="0010565E" w:rsidRPr="001A3E00" w:rsidRDefault="0010565E" w:rsidP="0010565E">
            <w:pPr>
              <w:rPr>
                <w:b/>
              </w:rPr>
            </w:pPr>
            <w:r w:rsidRPr="001A3E00">
              <w:rPr>
                <w:b/>
              </w:rPr>
              <w:t>Location</w:t>
            </w:r>
          </w:p>
        </w:tc>
      </w:tr>
      <w:tr w:rsidR="0010565E" w14:paraId="6F02A3BD" w14:textId="77777777" w:rsidTr="001A3E00">
        <w:tc>
          <w:tcPr>
            <w:tcW w:w="2802" w:type="dxa"/>
            <w:shd w:val="clear" w:color="auto" w:fill="auto"/>
          </w:tcPr>
          <w:p w14:paraId="089E753C" w14:textId="77777777" w:rsidR="0010565E" w:rsidRPr="0010565E" w:rsidRDefault="0010565E" w:rsidP="0010565E"/>
        </w:tc>
        <w:tc>
          <w:tcPr>
            <w:tcW w:w="2835" w:type="dxa"/>
            <w:shd w:val="clear" w:color="auto" w:fill="auto"/>
          </w:tcPr>
          <w:p w14:paraId="420436FE" w14:textId="77777777" w:rsidR="0010565E" w:rsidRDefault="0010565E" w:rsidP="0010565E"/>
        </w:tc>
        <w:tc>
          <w:tcPr>
            <w:tcW w:w="1417" w:type="dxa"/>
            <w:shd w:val="clear" w:color="auto" w:fill="auto"/>
          </w:tcPr>
          <w:p w14:paraId="36BE90F4" w14:textId="77777777" w:rsidR="0010565E" w:rsidRDefault="0010565E" w:rsidP="0010565E"/>
        </w:tc>
        <w:tc>
          <w:tcPr>
            <w:tcW w:w="2338" w:type="dxa"/>
            <w:shd w:val="clear" w:color="auto" w:fill="auto"/>
          </w:tcPr>
          <w:p w14:paraId="47CBC2F2" w14:textId="77777777" w:rsidR="0010565E" w:rsidRDefault="0010565E" w:rsidP="0010565E"/>
        </w:tc>
      </w:tr>
      <w:tr w:rsidR="0010565E" w14:paraId="76E4A01D" w14:textId="77777777" w:rsidTr="001A3E00">
        <w:tc>
          <w:tcPr>
            <w:tcW w:w="2802" w:type="dxa"/>
            <w:shd w:val="clear" w:color="auto" w:fill="auto"/>
          </w:tcPr>
          <w:p w14:paraId="53508418" w14:textId="77777777" w:rsidR="0010565E" w:rsidRPr="0010565E" w:rsidRDefault="0010565E" w:rsidP="0010565E"/>
        </w:tc>
        <w:tc>
          <w:tcPr>
            <w:tcW w:w="2835" w:type="dxa"/>
            <w:shd w:val="clear" w:color="auto" w:fill="auto"/>
          </w:tcPr>
          <w:p w14:paraId="52E85F10" w14:textId="77777777" w:rsidR="0010565E" w:rsidRDefault="0010565E" w:rsidP="0010565E"/>
        </w:tc>
        <w:tc>
          <w:tcPr>
            <w:tcW w:w="1417" w:type="dxa"/>
            <w:shd w:val="clear" w:color="auto" w:fill="auto"/>
          </w:tcPr>
          <w:p w14:paraId="3793DA8E" w14:textId="77777777" w:rsidR="0010565E" w:rsidRDefault="0010565E" w:rsidP="0010565E"/>
        </w:tc>
        <w:tc>
          <w:tcPr>
            <w:tcW w:w="2338" w:type="dxa"/>
            <w:shd w:val="clear" w:color="auto" w:fill="auto"/>
          </w:tcPr>
          <w:p w14:paraId="3E344916" w14:textId="77777777" w:rsidR="0010565E" w:rsidRDefault="0010565E" w:rsidP="0010565E"/>
        </w:tc>
      </w:tr>
      <w:tr w:rsidR="0010565E" w14:paraId="207578C8" w14:textId="77777777" w:rsidTr="001A3E00">
        <w:tc>
          <w:tcPr>
            <w:tcW w:w="2802" w:type="dxa"/>
            <w:shd w:val="clear" w:color="auto" w:fill="auto"/>
          </w:tcPr>
          <w:p w14:paraId="3BDF718C" w14:textId="77777777" w:rsidR="0010565E" w:rsidRPr="0010565E" w:rsidRDefault="0010565E" w:rsidP="0010565E"/>
        </w:tc>
        <w:tc>
          <w:tcPr>
            <w:tcW w:w="2835" w:type="dxa"/>
            <w:shd w:val="clear" w:color="auto" w:fill="auto"/>
          </w:tcPr>
          <w:p w14:paraId="0613C8D3" w14:textId="77777777" w:rsidR="0010565E" w:rsidRDefault="0010565E" w:rsidP="0010565E"/>
        </w:tc>
        <w:tc>
          <w:tcPr>
            <w:tcW w:w="1417" w:type="dxa"/>
            <w:shd w:val="clear" w:color="auto" w:fill="auto"/>
          </w:tcPr>
          <w:p w14:paraId="400C0CA3" w14:textId="77777777" w:rsidR="0010565E" w:rsidRDefault="0010565E" w:rsidP="0010565E"/>
        </w:tc>
        <w:tc>
          <w:tcPr>
            <w:tcW w:w="2338" w:type="dxa"/>
            <w:shd w:val="clear" w:color="auto" w:fill="auto"/>
          </w:tcPr>
          <w:p w14:paraId="294D95B8" w14:textId="77777777" w:rsidR="0010565E" w:rsidRDefault="0010565E" w:rsidP="0010565E"/>
        </w:tc>
      </w:tr>
      <w:tr w:rsidR="0010565E" w14:paraId="12BBB91F" w14:textId="77777777" w:rsidTr="001A3E00">
        <w:tc>
          <w:tcPr>
            <w:tcW w:w="2802" w:type="dxa"/>
            <w:shd w:val="clear" w:color="auto" w:fill="auto"/>
          </w:tcPr>
          <w:p w14:paraId="55A74854" w14:textId="77777777" w:rsidR="0010565E" w:rsidRDefault="0010565E" w:rsidP="0010565E"/>
        </w:tc>
        <w:tc>
          <w:tcPr>
            <w:tcW w:w="2835" w:type="dxa"/>
            <w:shd w:val="clear" w:color="auto" w:fill="auto"/>
          </w:tcPr>
          <w:p w14:paraId="0D8E96C9" w14:textId="77777777" w:rsidR="0010565E" w:rsidRDefault="0010565E" w:rsidP="0010565E"/>
        </w:tc>
        <w:tc>
          <w:tcPr>
            <w:tcW w:w="1417" w:type="dxa"/>
            <w:shd w:val="clear" w:color="auto" w:fill="auto"/>
          </w:tcPr>
          <w:p w14:paraId="323B4F73" w14:textId="77777777" w:rsidR="0010565E" w:rsidRDefault="0010565E" w:rsidP="0010565E"/>
        </w:tc>
        <w:tc>
          <w:tcPr>
            <w:tcW w:w="2338" w:type="dxa"/>
            <w:shd w:val="clear" w:color="auto" w:fill="auto"/>
          </w:tcPr>
          <w:p w14:paraId="2863AB9F" w14:textId="77777777" w:rsidR="0010565E" w:rsidRDefault="0010565E" w:rsidP="0010565E"/>
        </w:tc>
      </w:tr>
    </w:tbl>
    <w:p w14:paraId="46B9A33E" w14:textId="77777777" w:rsidR="0010565E" w:rsidRDefault="0010565E" w:rsidP="0010565E"/>
    <w:p w14:paraId="5AB85837" w14:textId="77777777" w:rsidR="0010565E" w:rsidRDefault="0010565E">
      <w:pPr>
        <w:rPr>
          <w:rFonts w:cs="Arial"/>
          <w:b/>
        </w:rPr>
      </w:pPr>
    </w:p>
    <w:sectPr w:rsidR="0010565E" w:rsidSect="00724EE2">
      <w:headerReference w:type="default" r:id="rId7"/>
      <w:footerReference w:type="default" r:id="rId8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645ED" w14:textId="77777777" w:rsidR="001C4C95" w:rsidRDefault="001C4C95">
      <w:r>
        <w:separator/>
      </w:r>
    </w:p>
  </w:endnote>
  <w:endnote w:type="continuationSeparator" w:id="0">
    <w:p w14:paraId="78CFD7A2" w14:textId="77777777" w:rsidR="001C4C95" w:rsidRDefault="001C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862E" w14:textId="73EBCB98" w:rsidR="003D2464" w:rsidRDefault="005F0D1B" w:rsidP="00056961">
    <w:pPr>
      <w:pStyle w:val="Footer"/>
      <w:tabs>
        <w:tab w:val="clear" w:pos="8306"/>
        <w:tab w:val="right" w:pos="9356"/>
      </w:tabs>
      <w:rPr>
        <w:sz w:val="20"/>
        <w:szCs w:val="20"/>
      </w:rPr>
    </w:pPr>
    <w:r>
      <w:rPr>
        <w:rFonts w:cs="Arial"/>
        <w:b/>
        <w:noProof/>
        <w:color w:val="0000CC"/>
        <w:sz w:val="24"/>
      </w:rPr>
      <w:t>Servers Refresh</w:t>
    </w:r>
    <w:r w:rsidR="00333FE6">
      <w:rPr>
        <w:sz w:val="20"/>
        <w:szCs w:val="20"/>
      </w:rPr>
      <w:tab/>
    </w:r>
    <w:r w:rsidR="003D2464" w:rsidRPr="00056961">
      <w:rPr>
        <w:sz w:val="20"/>
        <w:szCs w:val="20"/>
      </w:rPr>
      <w:tab/>
    </w:r>
    <w:r w:rsidR="003D2464" w:rsidRPr="00333FE6">
      <w:rPr>
        <w:sz w:val="20"/>
        <w:szCs w:val="20"/>
      </w:rPr>
      <w:t xml:space="preserve">Page </w:t>
    </w:r>
    <w:r w:rsidR="003D2464" w:rsidRPr="00333FE6">
      <w:rPr>
        <w:sz w:val="20"/>
        <w:szCs w:val="20"/>
      </w:rPr>
      <w:fldChar w:fldCharType="begin"/>
    </w:r>
    <w:r w:rsidR="003D2464" w:rsidRPr="00333FE6">
      <w:rPr>
        <w:sz w:val="20"/>
        <w:szCs w:val="20"/>
      </w:rPr>
      <w:instrText xml:space="preserve"> PAGE </w:instrText>
    </w:r>
    <w:r w:rsidR="003D2464" w:rsidRPr="00333FE6">
      <w:rPr>
        <w:sz w:val="20"/>
        <w:szCs w:val="20"/>
      </w:rPr>
      <w:fldChar w:fldCharType="separate"/>
    </w:r>
    <w:r w:rsidR="00E20DF1">
      <w:rPr>
        <w:noProof/>
        <w:sz w:val="20"/>
        <w:szCs w:val="20"/>
      </w:rPr>
      <w:t>2</w:t>
    </w:r>
    <w:r w:rsidR="003D2464" w:rsidRPr="00333FE6">
      <w:rPr>
        <w:sz w:val="20"/>
        <w:szCs w:val="20"/>
      </w:rPr>
      <w:fldChar w:fldCharType="end"/>
    </w:r>
    <w:r w:rsidR="003D2464" w:rsidRPr="00333FE6">
      <w:rPr>
        <w:sz w:val="20"/>
        <w:szCs w:val="20"/>
      </w:rPr>
      <w:t xml:space="preserve"> of </w:t>
    </w:r>
    <w:r w:rsidR="003D2464" w:rsidRPr="00333FE6">
      <w:rPr>
        <w:sz w:val="20"/>
        <w:szCs w:val="20"/>
      </w:rPr>
      <w:fldChar w:fldCharType="begin"/>
    </w:r>
    <w:r w:rsidR="003D2464" w:rsidRPr="00333FE6">
      <w:rPr>
        <w:sz w:val="20"/>
        <w:szCs w:val="20"/>
      </w:rPr>
      <w:instrText xml:space="preserve"> NUMPAGES </w:instrText>
    </w:r>
    <w:r w:rsidR="003D2464" w:rsidRPr="00333FE6">
      <w:rPr>
        <w:sz w:val="20"/>
        <w:szCs w:val="20"/>
      </w:rPr>
      <w:fldChar w:fldCharType="separate"/>
    </w:r>
    <w:r w:rsidR="00E20DF1">
      <w:rPr>
        <w:noProof/>
        <w:sz w:val="20"/>
        <w:szCs w:val="20"/>
      </w:rPr>
      <w:t>4</w:t>
    </w:r>
    <w:r w:rsidR="003D2464" w:rsidRPr="00333FE6">
      <w:rPr>
        <w:sz w:val="20"/>
        <w:szCs w:val="20"/>
      </w:rPr>
      <w:fldChar w:fldCharType="end"/>
    </w:r>
  </w:p>
  <w:p w14:paraId="47456189" w14:textId="01CECA94" w:rsidR="000763CC" w:rsidRPr="00333FE6" w:rsidRDefault="000763CC" w:rsidP="000763CC">
    <w:pPr>
      <w:pStyle w:val="Footer"/>
      <w:tabs>
        <w:tab w:val="clear" w:pos="8306"/>
        <w:tab w:val="right" w:pos="9356"/>
      </w:tabs>
      <w:spacing w:before="120"/>
      <w:rPr>
        <w:szCs w:val="22"/>
      </w:rPr>
    </w:pPr>
    <w:r>
      <w:rPr>
        <w:sz w:val="20"/>
        <w:szCs w:val="20"/>
      </w:rPr>
      <w:t xml:space="preserve">Author : </w:t>
    </w:r>
    <w:r w:rsidR="00C67DCD">
      <w:rPr>
        <w:sz w:val="20"/>
        <w:szCs w:val="20"/>
      </w:rPr>
      <w:t>Shaun Littlewood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Date : </w:t>
    </w:r>
    <w:r w:rsidR="00E1674F">
      <w:rPr>
        <w:sz w:val="20"/>
        <w:szCs w:val="20"/>
      </w:rPr>
      <w:t>28</w:t>
    </w:r>
    <w:r w:rsidR="00E1674F" w:rsidRPr="00E1674F">
      <w:rPr>
        <w:sz w:val="20"/>
        <w:szCs w:val="20"/>
        <w:vertAlign w:val="superscript"/>
      </w:rPr>
      <w:t>th</w:t>
    </w:r>
    <w:r w:rsidR="00E1674F">
      <w:rPr>
        <w:sz w:val="20"/>
        <w:szCs w:val="20"/>
      </w:rPr>
      <w:t xml:space="preserve"> September</w:t>
    </w:r>
    <w:r w:rsidR="00C67DCD">
      <w:rPr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D15E3" w14:textId="77777777" w:rsidR="001C4C95" w:rsidRDefault="001C4C95">
      <w:r>
        <w:separator/>
      </w:r>
    </w:p>
  </w:footnote>
  <w:footnote w:type="continuationSeparator" w:id="0">
    <w:p w14:paraId="424983FA" w14:textId="77777777" w:rsidR="001C4C95" w:rsidRDefault="001C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2990" w14:textId="02BD79DA" w:rsidR="003D2464" w:rsidRPr="00ED76AD" w:rsidRDefault="00ED76AD" w:rsidP="00056961">
    <w:pPr>
      <w:tabs>
        <w:tab w:val="right" w:pos="9356"/>
      </w:tabs>
      <w:rPr>
        <w:rFonts w:ascii="Century Gothic" w:hAnsi="Century Gothic"/>
        <w:b/>
        <w:color w:val="0000CC"/>
      </w:rPr>
    </w:pPr>
    <w:r>
      <w:rPr>
        <w:rFonts w:cs="Arial"/>
        <w:b/>
        <w:sz w:val="24"/>
      </w:rPr>
      <w:t>IT</w:t>
    </w:r>
    <w:r w:rsidR="00A61893" w:rsidRPr="00A61893">
      <w:rPr>
        <w:rFonts w:cs="Arial"/>
        <w:b/>
        <w:sz w:val="24"/>
      </w:rPr>
      <w:t xml:space="preserve"> </w:t>
    </w:r>
    <w:r w:rsidR="003D2464" w:rsidRPr="00A61893">
      <w:rPr>
        <w:rFonts w:cs="Arial"/>
        <w:b/>
        <w:sz w:val="24"/>
      </w:rPr>
      <w:t>Work Package</w:t>
    </w:r>
    <w:r w:rsidR="003D2464">
      <w:rPr>
        <w:rFonts w:cs="Arial"/>
        <w:sz w:val="16"/>
      </w:rPr>
      <w:tab/>
    </w:r>
    <w:r w:rsidR="00333FE6" w:rsidRPr="00333FE6">
      <w:rPr>
        <w:rFonts w:cs="Arial"/>
        <w:color w:val="0000CC"/>
        <w:szCs w:val="22"/>
      </w:rPr>
      <w:fldChar w:fldCharType="begin"/>
    </w:r>
    <w:r w:rsidR="00333FE6" w:rsidRPr="00333FE6">
      <w:rPr>
        <w:rFonts w:cs="Arial"/>
        <w:color w:val="0000CC"/>
        <w:szCs w:val="22"/>
      </w:rPr>
      <w:instrText xml:space="preserve"> FILENAME   \* MERGEFORMAT </w:instrText>
    </w:r>
    <w:r w:rsidR="00333FE6" w:rsidRPr="00333FE6">
      <w:rPr>
        <w:rFonts w:cs="Arial"/>
        <w:color w:val="0000CC"/>
        <w:szCs w:val="22"/>
      </w:rPr>
      <w:fldChar w:fldCharType="separate"/>
    </w:r>
    <w:r w:rsidR="00F8039D">
      <w:rPr>
        <w:rFonts w:cs="Arial"/>
        <w:noProof/>
        <w:color w:val="0000CC"/>
        <w:szCs w:val="22"/>
      </w:rPr>
      <w:t>SR-WP-0104 - Menumark server migration</w:t>
    </w:r>
    <w:r w:rsidR="00333FE6" w:rsidRPr="00333FE6">
      <w:rPr>
        <w:rFonts w:cs="Arial"/>
        <w:color w:val="0000CC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41BB"/>
    <w:multiLevelType w:val="hybridMultilevel"/>
    <w:tmpl w:val="90C0A0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8F4"/>
    <w:multiLevelType w:val="hybridMultilevel"/>
    <w:tmpl w:val="87D0B5D6"/>
    <w:lvl w:ilvl="0" w:tplc="BFB044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54DD"/>
    <w:multiLevelType w:val="hybridMultilevel"/>
    <w:tmpl w:val="E54C2700"/>
    <w:lvl w:ilvl="0" w:tplc="3042CEA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6806"/>
    <w:multiLevelType w:val="hybridMultilevel"/>
    <w:tmpl w:val="0A20E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545E"/>
    <w:multiLevelType w:val="hybridMultilevel"/>
    <w:tmpl w:val="A5A6706C"/>
    <w:lvl w:ilvl="0" w:tplc="BFB044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081"/>
    <w:multiLevelType w:val="hybridMultilevel"/>
    <w:tmpl w:val="A448D0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7244"/>
    <w:multiLevelType w:val="hybridMultilevel"/>
    <w:tmpl w:val="A95838F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3612C"/>
    <w:multiLevelType w:val="hybridMultilevel"/>
    <w:tmpl w:val="66E2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35DCD"/>
    <w:multiLevelType w:val="hybridMultilevel"/>
    <w:tmpl w:val="99FCECE6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0F6477"/>
    <w:multiLevelType w:val="hybridMultilevel"/>
    <w:tmpl w:val="EFCE6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A67D85"/>
    <w:multiLevelType w:val="hybridMultilevel"/>
    <w:tmpl w:val="780E3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C3053"/>
    <w:multiLevelType w:val="hybridMultilevel"/>
    <w:tmpl w:val="3CC4BB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471F5"/>
    <w:multiLevelType w:val="hybridMultilevel"/>
    <w:tmpl w:val="C90EC88C"/>
    <w:lvl w:ilvl="0" w:tplc="5D52AF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25E2B"/>
    <w:multiLevelType w:val="hybridMultilevel"/>
    <w:tmpl w:val="BF70B512"/>
    <w:lvl w:ilvl="0" w:tplc="CD10613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10A35"/>
    <w:multiLevelType w:val="hybridMultilevel"/>
    <w:tmpl w:val="C28E594C"/>
    <w:lvl w:ilvl="0" w:tplc="338E2E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0FA3"/>
    <w:multiLevelType w:val="hybridMultilevel"/>
    <w:tmpl w:val="D6EE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83B8B"/>
    <w:multiLevelType w:val="hybridMultilevel"/>
    <w:tmpl w:val="0400D5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5309D"/>
    <w:multiLevelType w:val="hybridMultilevel"/>
    <w:tmpl w:val="4A7CE8AA"/>
    <w:lvl w:ilvl="0" w:tplc="4408616E">
      <w:start w:val="1"/>
      <w:numFmt w:val="decimal"/>
      <w:lvlText w:val="%1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0584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6B61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9CE60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8467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AB1C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68654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2030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4059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D51A61"/>
    <w:multiLevelType w:val="hybridMultilevel"/>
    <w:tmpl w:val="51606684"/>
    <w:lvl w:ilvl="0" w:tplc="32A8C64E">
      <w:start w:val="1"/>
      <w:numFmt w:val="decimal"/>
      <w:lvlText w:val="%1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6E069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AAF2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20A3C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F066F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44D8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C0202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A08D2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540FE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8"/>
  </w:num>
  <w:num w:numId="5">
    <w:abstractNumId w:val="5"/>
  </w:num>
  <w:num w:numId="6">
    <w:abstractNumId w:val="14"/>
  </w:num>
  <w:num w:numId="7">
    <w:abstractNumId w:val="12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16"/>
  </w:num>
  <w:num w:numId="13">
    <w:abstractNumId w:val="3"/>
  </w:num>
  <w:num w:numId="14">
    <w:abstractNumId w:val="2"/>
  </w:num>
  <w:num w:numId="15">
    <w:abstractNumId w:val="0"/>
  </w:num>
  <w:num w:numId="16">
    <w:abstractNumId w:val="9"/>
  </w:num>
  <w:num w:numId="17">
    <w:abstractNumId w:val="17"/>
  </w:num>
  <w:num w:numId="18">
    <w:abstractNumId w:val="1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34"/>
    <w:rsid w:val="0003726D"/>
    <w:rsid w:val="00037353"/>
    <w:rsid w:val="00045590"/>
    <w:rsid w:val="0005418B"/>
    <w:rsid w:val="0005543F"/>
    <w:rsid w:val="00056961"/>
    <w:rsid w:val="00070DD2"/>
    <w:rsid w:val="0007308F"/>
    <w:rsid w:val="000763CC"/>
    <w:rsid w:val="000C229D"/>
    <w:rsid w:val="000C352C"/>
    <w:rsid w:val="000D5282"/>
    <w:rsid w:val="000E2617"/>
    <w:rsid w:val="000E3E93"/>
    <w:rsid w:val="0010565E"/>
    <w:rsid w:val="00112DA5"/>
    <w:rsid w:val="0013561E"/>
    <w:rsid w:val="001453AC"/>
    <w:rsid w:val="00161378"/>
    <w:rsid w:val="00164106"/>
    <w:rsid w:val="00165C9A"/>
    <w:rsid w:val="00171A1B"/>
    <w:rsid w:val="00171D29"/>
    <w:rsid w:val="00174C11"/>
    <w:rsid w:val="001866AB"/>
    <w:rsid w:val="00194D78"/>
    <w:rsid w:val="001A35B9"/>
    <w:rsid w:val="001A3E00"/>
    <w:rsid w:val="001C1141"/>
    <w:rsid w:val="001C4C95"/>
    <w:rsid w:val="001C6C68"/>
    <w:rsid w:val="001E45F3"/>
    <w:rsid w:val="001F0B93"/>
    <w:rsid w:val="001F12CE"/>
    <w:rsid w:val="00201C3A"/>
    <w:rsid w:val="00220F8E"/>
    <w:rsid w:val="00245EFF"/>
    <w:rsid w:val="002560FD"/>
    <w:rsid w:val="002A6752"/>
    <w:rsid w:val="002B4A02"/>
    <w:rsid w:val="002C3117"/>
    <w:rsid w:val="002C583B"/>
    <w:rsid w:val="00316E3A"/>
    <w:rsid w:val="00332ACA"/>
    <w:rsid w:val="00333FE6"/>
    <w:rsid w:val="00337873"/>
    <w:rsid w:val="0033795E"/>
    <w:rsid w:val="00343BDD"/>
    <w:rsid w:val="003663D9"/>
    <w:rsid w:val="003818FE"/>
    <w:rsid w:val="003A7B45"/>
    <w:rsid w:val="003A7EF4"/>
    <w:rsid w:val="003B0D01"/>
    <w:rsid w:val="003D09BA"/>
    <w:rsid w:val="003D2464"/>
    <w:rsid w:val="003D5682"/>
    <w:rsid w:val="003E4AB0"/>
    <w:rsid w:val="003E56F8"/>
    <w:rsid w:val="003F48CB"/>
    <w:rsid w:val="00433373"/>
    <w:rsid w:val="00441B1A"/>
    <w:rsid w:val="00462D36"/>
    <w:rsid w:val="0048377F"/>
    <w:rsid w:val="00484F7F"/>
    <w:rsid w:val="00486A36"/>
    <w:rsid w:val="00494FFA"/>
    <w:rsid w:val="004A0BD8"/>
    <w:rsid w:val="004A3258"/>
    <w:rsid w:val="004D1B45"/>
    <w:rsid w:val="004E226E"/>
    <w:rsid w:val="004F00BF"/>
    <w:rsid w:val="00516EA6"/>
    <w:rsid w:val="0052762C"/>
    <w:rsid w:val="005462FF"/>
    <w:rsid w:val="005602FC"/>
    <w:rsid w:val="005B11C7"/>
    <w:rsid w:val="005C1EC7"/>
    <w:rsid w:val="005C7E3A"/>
    <w:rsid w:val="005C7FA3"/>
    <w:rsid w:val="005F0D1B"/>
    <w:rsid w:val="005F3B45"/>
    <w:rsid w:val="005F7179"/>
    <w:rsid w:val="00616148"/>
    <w:rsid w:val="00647D7B"/>
    <w:rsid w:val="006520C1"/>
    <w:rsid w:val="006678CE"/>
    <w:rsid w:val="00673421"/>
    <w:rsid w:val="006B1491"/>
    <w:rsid w:val="006E7BCE"/>
    <w:rsid w:val="006F62BA"/>
    <w:rsid w:val="0071195E"/>
    <w:rsid w:val="00712B95"/>
    <w:rsid w:val="00724CA2"/>
    <w:rsid w:val="00724EE2"/>
    <w:rsid w:val="00725CD3"/>
    <w:rsid w:val="00730005"/>
    <w:rsid w:val="0073589D"/>
    <w:rsid w:val="00740153"/>
    <w:rsid w:val="00743E50"/>
    <w:rsid w:val="00744A3E"/>
    <w:rsid w:val="00781B01"/>
    <w:rsid w:val="007B5CAA"/>
    <w:rsid w:val="007B649B"/>
    <w:rsid w:val="007C1FE2"/>
    <w:rsid w:val="007C4F29"/>
    <w:rsid w:val="007C7A39"/>
    <w:rsid w:val="007E3428"/>
    <w:rsid w:val="008000B7"/>
    <w:rsid w:val="00803CDA"/>
    <w:rsid w:val="00805B49"/>
    <w:rsid w:val="00810CCC"/>
    <w:rsid w:val="0083322A"/>
    <w:rsid w:val="008511A3"/>
    <w:rsid w:val="00861A55"/>
    <w:rsid w:val="008824FA"/>
    <w:rsid w:val="00883F5B"/>
    <w:rsid w:val="00887606"/>
    <w:rsid w:val="00893EB2"/>
    <w:rsid w:val="008A50CE"/>
    <w:rsid w:val="008B7921"/>
    <w:rsid w:val="008D2661"/>
    <w:rsid w:val="008D5579"/>
    <w:rsid w:val="008D7E9C"/>
    <w:rsid w:val="008E48C4"/>
    <w:rsid w:val="008F2F08"/>
    <w:rsid w:val="00902959"/>
    <w:rsid w:val="009322A1"/>
    <w:rsid w:val="009567CD"/>
    <w:rsid w:val="00956BE8"/>
    <w:rsid w:val="00983AFE"/>
    <w:rsid w:val="00992986"/>
    <w:rsid w:val="009A4C60"/>
    <w:rsid w:val="009B0B15"/>
    <w:rsid w:val="009E5196"/>
    <w:rsid w:val="009F5F77"/>
    <w:rsid w:val="009F6ADB"/>
    <w:rsid w:val="009F72A1"/>
    <w:rsid w:val="00A106CF"/>
    <w:rsid w:val="00A51AD1"/>
    <w:rsid w:val="00A53478"/>
    <w:rsid w:val="00A53BD4"/>
    <w:rsid w:val="00A61893"/>
    <w:rsid w:val="00A73CCD"/>
    <w:rsid w:val="00A82643"/>
    <w:rsid w:val="00A8743C"/>
    <w:rsid w:val="00A95AB6"/>
    <w:rsid w:val="00AA2101"/>
    <w:rsid w:val="00AB3BF6"/>
    <w:rsid w:val="00AF481C"/>
    <w:rsid w:val="00B04F6A"/>
    <w:rsid w:val="00B138A0"/>
    <w:rsid w:val="00B36142"/>
    <w:rsid w:val="00B511C2"/>
    <w:rsid w:val="00B516CC"/>
    <w:rsid w:val="00B56ABC"/>
    <w:rsid w:val="00B578D3"/>
    <w:rsid w:val="00B6244C"/>
    <w:rsid w:val="00B90060"/>
    <w:rsid w:val="00B961A7"/>
    <w:rsid w:val="00BA1D48"/>
    <w:rsid w:val="00BA5FAC"/>
    <w:rsid w:val="00BB76D7"/>
    <w:rsid w:val="00BC6CA8"/>
    <w:rsid w:val="00BD31D9"/>
    <w:rsid w:val="00BF3E40"/>
    <w:rsid w:val="00C22024"/>
    <w:rsid w:val="00C3239F"/>
    <w:rsid w:val="00C44ED4"/>
    <w:rsid w:val="00C4536A"/>
    <w:rsid w:val="00C46F05"/>
    <w:rsid w:val="00C50E23"/>
    <w:rsid w:val="00C67DCD"/>
    <w:rsid w:val="00C763DC"/>
    <w:rsid w:val="00C96CBD"/>
    <w:rsid w:val="00CC0ECB"/>
    <w:rsid w:val="00CF2467"/>
    <w:rsid w:val="00D05BD9"/>
    <w:rsid w:val="00D26433"/>
    <w:rsid w:val="00D27D09"/>
    <w:rsid w:val="00D72603"/>
    <w:rsid w:val="00D827DC"/>
    <w:rsid w:val="00D86365"/>
    <w:rsid w:val="00D90CE2"/>
    <w:rsid w:val="00D96EA3"/>
    <w:rsid w:val="00DA4F1B"/>
    <w:rsid w:val="00DA7B1F"/>
    <w:rsid w:val="00DB2D47"/>
    <w:rsid w:val="00DB7F52"/>
    <w:rsid w:val="00DD0469"/>
    <w:rsid w:val="00DE440D"/>
    <w:rsid w:val="00DF72C7"/>
    <w:rsid w:val="00E14264"/>
    <w:rsid w:val="00E1674F"/>
    <w:rsid w:val="00E20DF1"/>
    <w:rsid w:val="00E258A2"/>
    <w:rsid w:val="00E549F2"/>
    <w:rsid w:val="00E61938"/>
    <w:rsid w:val="00E65A34"/>
    <w:rsid w:val="00E75A80"/>
    <w:rsid w:val="00E80238"/>
    <w:rsid w:val="00E86608"/>
    <w:rsid w:val="00E86B3E"/>
    <w:rsid w:val="00E87296"/>
    <w:rsid w:val="00EB469B"/>
    <w:rsid w:val="00ED76AD"/>
    <w:rsid w:val="00EF031A"/>
    <w:rsid w:val="00EF310D"/>
    <w:rsid w:val="00F16267"/>
    <w:rsid w:val="00F234C5"/>
    <w:rsid w:val="00F26769"/>
    <w:rsid w:val="00F41044"/>
    <w:rsid w:val="00F763D1"/>
    <w:rsid w:val="00F8039D"/>
    <w:rsid w:val="00F81A14"/>
    <w:rsid w:val="00F91BBB"/>
    <w:rsid w:val="00FB415B"/>
    <w:rsid w:val="00FC1C84"/>
    <w:rsid w:val="00FC330F"/>
    <w:rsid w:val="00FD19D2"/>
    <w:rsid w:val="00FD5124"/>
    <w:rsid w:val="00FE1734"/>
    <w:rsid w:val="00FE62E4"/>
    <w:rsid w:val="00FE6889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072FDA6"/>
  <w15:docId w15:val="{3831D6D3-327E-44A0-A3BE-F2C4D89E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43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B469B"/>
    <w:pPr>
      <w:keepNext/>
      <w:spacing w:before="240" w:after="60"/>
      <w:outlineLvl w:val="0"/>
    </w:pPr>
    <w:rPr>
      <w:b/>
      <w:bCs/>
      <w:color w:val="0000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w="1701" w:h="567" w:wrap="notBeside" w:vAnchor="text" w:hAnchor="page" w:y="1"/>
      <w:spacing w:before="240" w:after="60"/>
      <w:outlineLvl w:val="1"/>
    </w:pPr>
    <w:rPr>
      <w:rFonts w:cs="Arial"/>
      <w:b/>
      <w:bCs/>
      <w:i/>
      <w:iCs/>
      <w:szCs w:val="28"/>
      <w:lang w:eastAsia="en-US"/>
    </w:rPr>
  </w:style>
  <w:style w:type="paragraph" w:styleId="Heading3">
    <w:name w:val="heading 3"/>
    <w:basedOn w:val="Normal"/>
    <w:next w:val="Normal"/>
    <w:qFormat/>
    <w:rsid w:val="002A6752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1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959"/>
    <w:pPr>
      <w:spacing w:after="120"/>
      <w:ind w:left="720"/>
      <w:contextualSpacing/>
    </w:pPr>
    <w:rPr>
      <w:lang w:eastAsia="en-US" w:bidi="en-US"/>
    </w:rPr>
  </w:style>
  <w:style w:type="character" w:customStyle="1" w:styleId="Heading1Char">
    <w:name w:val="Heading 1 Char"/>
    <w:link w:val="Heading1"/>
    <w:rsid w:val="00EB469B"/>
    <w:rPr>
      <w:rFonts w:ascii="Arial" w:eastAsia="Times New Roman" w:hAnsi="Arial" w:cs="Times New Roman"/>
      <w:b/>
      <w:bCs/>
      <w:color w:val="000099"/>
      <w:kern w:val="32"/>
      <w:sz w:val="32"/>
      <w:szCs w:val="32"/>
    </w:rPr>
  </w:style>
  <w:style w:type="character" w:styleId="Hyperlink">
    <w:name w:val="Hyperlink"/>
    <w:uiPriority w:val="99"/>
    <w:unhideWhenUsed/>
    <w:rsid w:val="00ED76AD"/>
    <w:rPr>
      <w:color w:val="0000FF"/>
      <w:u w:val="single"/>
    </w:rPr>
  </w:style>
  <w:style w:type="table" w:styleId="TableGrid">
    <w:name w:val="Table Grid"/>
    <w:basedOn w:val="TableNormal"/>
    <w:rsid w:val="00ED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C7F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532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of the Work Package Brief</vt:lpstr>
    </vt:vector>
  </TitlesOfParts>
  <Company>fdm Management Solutions ltd</Company>
  <LinksUpToDate>false</LinksUpToDate>
  <CharactersWithSpaces>3603</CharactersWithSpaces>
  <SharedDoc>false</SharedDoc>
  <HLinks>
    <vt:vector size="6" baseType="variant"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\\shc-dit\dit\DIT\Security\Cyber Essentials\Unsupported servers\Unsupported Servers Master List.xlsx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the Work Package Brief</dc:title>
  <dc:creator>Maritan</dc:creator>
  <cp:lastModifiedBy>LITTLEWOOD, Shaun (SALISBURY NHS FOUNDATION TRUST)</cp:lastModifiedBy>
  <cp:revision>9</cp:revision>
  <cp:lastPrinted>2009-03-27T13:53:00Z</cp:lastPrinted>
  <dcterms:created xsi:type="dcterms:W3CDTF">2022-07-19T13:58:00Z</dcterms:created>
  <dcterms:modified xsi:type="dcterms:W3CDTF">2022-09-28T15:59:00Z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46ff2e68-c1dc-4928-a56f-0cce4c007a32</vt:lpwstr>
  </property>
</Properties>
</file>