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675" w:rsidRDefault="00A02675" w:rsidP="00A02675">
      <w:pPr>
        <w:tabs>
          <w:tab w:val="left" w:pos="580"/>
        </w:tabs>
        <w:spacing w:before="32"/>
        <w:ind w:right="-20"/>
        <w:jc w:val="center"/>
        <w:rPr>
          <w:rFonts w:ascii="Calibri" w:hAnsi="Calibri" w:cs="Arial"/>
          <w:b/>
          <w:sz w:val="40"/>
          <w:szCs w:val="36"/>
        </w:rPr>
      </w:pPr>
    </w:p>
    <w:p w:rsidR="00DF04A1" w:rsidRDefault="00DF04A1" w:rsidP="00A02675">
      <w:pPr>
        <w:tabs>
          <w:tab w:val="left" w:pos="580"/>
        </w:tabs>
        <w:spacing w:before="32"/>
        <w:ind w:left="238" w:right="-20"/>
        <w:jc w:val="center"/>
        <w:rPr>
          <w:rFonts w:ascii="Calibri" w:hAnsi="Calibri" w:cs="Arial"/>
          <w:b/>
          <w:sz w:val="36"/>
          <w:szCs w:val="36"/>
        </w:rPr>
      </w:pPr>
      <w:r>
        <w:rPr>
          <w:rFonts w:ascii="Calibri" w:hAnsi="Calibri" w:cs="Arial"/>
          <w:b/>
          <w:sz w:val="36"/>
          <w:szCs w:val="36"/>
        </w:rPr>
        <w:t>Standard Operating Procedure</w:t>
      </w:r>
    </w:p>
    <w:p w:rsidR="00A02675" w:rsidRPr="00DF04A1" w:rsidRDefault="00981304" w:rsidP="00A02675">
      <w:pPr>
        <w:tabs>
          <w:tab w:val="left" w:pos="580"/>
        </w:tabs>
        <w:spacing w:before="32"/>
        <w:ind w:left="238" w:right="-20"/>
        <w:jc w:val="center"/>
        <w:rPr>
          <w:rFonts w:ascii="Calibri" w:hAnsi="Calibri" w:cs="Arial"/>
          <w:b/>
          <w:sz w:val="36"/>
          <w:szCs w:val="36"/>
        </w:rPr>
      </w:pPr>
      <w:r>
        <w:rPr>
          <w:rFonts w:ascii="Calibri" w:hAnsi="Calibri" w:cs="Arial"/>
          <w:b/>
          <w:sz w:val="36"/>
          <w:szCs w:val="36"/>
        </w:rPr>
        <w:t>Managing the death of an</w:t>
      </w:r>
      <w:r w:rsidR="00904455">
        <w:rPr>
          <w:rFonts w:ascii="Calibri" w:hAnsi="Calibri" w:cs="Arial"/>
          <w:b/>
          <w:sz w:val="36"/>
          <w:szCs w:val="36"/>
        </w:rPr>
        <w:t xml:space="preserve"> Overseas </w:t>
      </w:r>
      <w:r w:rsidR="005A06A5">
        <w:rPr>
          <w:rFonts w:ascii="Calibri" w:hAnsi="Calibri" w:cs="Arial"/>
          <w:b/>
          <w:sz w:val="36"/>
          <w:szCs w:val="36"/>
        </w:rPr>
        <w:t>Employee</w:t>
      </w:r>
    </w:p>
    <w:p w:rsidR="00A02675" w:rsidRPr="00DF04A1" w:rsidRDefault="00A02675" w:rsidP="00A02675">
      <w:pPr>
        <w:tabs>
          <w:tab w:val="left" w:pos="580"/>
        </w:tabs>
        <w:spacing w:before="32"/>
        <w:ind w:right="-20"/>
        <w:rPr>
          <w:rFonts w:ascii="Calibri" w:hAnsi="Calibri" w:cs="Arial"/>
          <w:b/>
          <w:sz w:val="36"/>
          <w:szCs w:val="36"/>
        </w:rPr>
      </w:pPr>
    </w:p>
    <w:p w:rsidR="00A02675" w:rsidRPr="0032130B" w:rsidRDefault="00A02675" w:rsidP="00A02675">
      <w:pPr>
        <w:tabs>
          <w:tab w:val="left" w:pos="580"/>
        </w:tabs>
        <w:spacing w:before="32"/>
        <w:ind w:right="-20"/>
        <w:rPr>
          <w:rFonts w:ascii="Calibri" w:hAnsi="Calibri" w:cs="Arial"/>
          <w:sz w:val="36"/>
          <w:szCs w:val="36"/>
        </w:rPr>
      </w:pPr>
      <w:r w:rsidRPr="008C36E1">
        <w:rPr>
          <w:rFonts w:ascii="Calibri" w:hAnsi="Calibri" w:cs="Arial"/>
          <w:b/>
          <w:sz w:val="36"/>
          <w:szCs w:val="36"/>
        </w:rPr>
        <w:t xml:space="preserve">Date: </w:t>
      </w:r>
      <w:r>
        <w:rPr>
          <w:rFonts w:ascii="Calibri" w:hAnsi="Calibri" w:cs="Arial"/>
          <w:b/>
          <w:sz w:val="36"/>
          <w:szCs w:val="36"/>
        </w:rPr>
        <w:tab/>
      </w:r>
      <w:r w:rsidR="00904455">
        <w:rPr>
          <w:rFonts w:ascii="Calibri" w:hAnsi="Calibri" w:cs="Arial"/>
          <w:b/>
          <w:sz w:val="36"/>
          <w:szCs w:val="36"/>
        </w:rPr>
        <w:tab/>
      </w:r>
      <w:r w:rsidR="00904455">
        <w:rPr>
          <w:rFonts w:ascii="Calibri" w:hAnsi="Calibri" w:cs="Arial"/>
          <w:b/>
          <w:sz w:val="36"/>
          <w:szCs w:val="36"/>
        </w:rPr>
        <w:tab/>
      </w:r>
      <w:r w:rsidR="005A06A5">
        <w:rPr>
          <w:rFonts w:ascii="Calibri" w:hAnsi="Calibri" w:cs="Arial"/>
          <w:b/>
          <w:sz w:val="36"/>
          <w:szCs w:val="36"/>
        </w:rPr>
        <w:t>April</w:t>
      </w:r>
      <w:r w:rsidR="00013B01">
        <w:rPr>
          <w:rFonts w:ascii="Calibri" w:hAnsi="Calibri" w:cs="Arial"/>
          <w:b/>
          <w:sz w:val="36"/>
          <w:szCs w:val="36"/>
        </w:rPr>
        <w:t xml:space="preserve"> </w:t>
      </w:r>
      <w:r w:rsidR="00D22E35">
        <w:rPr>
          <w:rFonts w:ascii="Calibri" w:hAnsi="Calibri" w:cs="Arial"/>
          <w:b/>
          <w:sz w:val="36"/>
          <w:szCs w:val="36"/>
        </w:rPr>
        <w:t>2020</w:t>
      </w:r>
    </w:p>
    <w:p w:rsidR="00A02675" w:rsidRPr="008C36E1" w:rsidRDefault="00A02675" w:rsidP="00A02675">
      <w:pPr>
        <w:tabs>
          <w:tab w:val="left" w:pos="580"/>
        </w:tabs>
        <w:spacing w:before="32"/>
        <w:ind w:right="-20"/>
        <w:rPr>
          <w:rFonts w:ascii="Calibri" w:hAnsi="Calibri" w:cs="Arial"/>
          <w:b/>
          <w:sz w:val="36"/>
          <w:szCs w:val="36"/>
        </w:rPr>
      </w:pPr>
      <w:r w:rsidRPr="008C36E1">
        <w:rPr>
          <w:rFonts w:ascii="Calibri" w:hAnsi="Calibri" w:cs="Arial"/>
          <w:b/>
          <w:sz w:val="36"/>
          <w:szCs w:val="36"/>
        </w:rPr>
        <w:t xml:space="preserve">Version: </w:t>
      </w:r>
      <w:r w:rsidRPr="008C36E1">
        <w:rPr>
          <w:rFonts w:ascii="Calibri" w:hAnsi="Calibri" w:cs="Arial"/>
          <w:b/>
          <w:sz w:val="36"/>
          <w:szCs w:val="36"/>
        </w:rPr>
        <w:tab/>
      </w:r>
      <w:r w:rsidR="00904455">
        <w:rPr>
          <w:rFonts w:ascii="Calibri" w:hAnsi="Calibri" w:cs="Arial"/>
          <w:b/>
          <w:sz w:val="36"/>
          <w:szCs w:val="36"/>
        </w:rPr>
        <w:tab/>
      </w:r>
      <w:r w:rsidR="00904455">
        <w:rPr>
          <w:rFonts w:ascii="Calibri" w:hAnsi="Calibri" w:cs="Arial"/>
          <w:b/>
          <w:sz w:val="36"/>
          <w:szCs w:val="36"/>
        </w:rPr>
        <w:tab/>
      </w:r>
      <w:r w:rsidR="004B6DD2">
        <w:rPr>
          <w:rFonts w:ascii="Calibri" w:hAnsi="Calibri" w:cs="Arial"/>
          <w:b/>
          <w:sz w:val="36"/>
          <w:szCs w:val="36"/>
        </w:rPr>
        <w:t>01</w:t>
      </w:r>
    </w:p>
    <w:p w:rsidR="00530190" w:rsidRDefault="00530190" w:rsidP="00A02675">
      <w:pPr>
        <w:tabs>
          <w:tab w:val="left" w:pos="580"/>
        </w:tabs>
        <w:spacing w:before="32"/>
        <w:ind w:right="-20"/>
        <w:rPr>
          <w:rFonts w:ascii="Calibri" w:hAnsi="Calibri" w:cs="Arial"/>
          <w:sz w:val="32"/>
          <w:szCs w:val="32"/>
        </w:rPr>
      </w:pPr>
    </w:p>
    <w:p w:rsidR="00A02675" w:rsidRPr="008C36E1" w:rsidRDefault="00A02675" w:rsidP="00A02675">
      <w:pPr>
        <w:tabs>
          <w:tab w:val="left" w:pos="580"/>
        </w:tabs>
        <w:spacing w:before="32"/>
        <w:ind w:right="-20"/>
        <w:rPr>
          <w:rFonts w:ascii="Calibri" w:hAnsi="Calibri" w:cs="Arial"/>
          <w:b/>
          <w:sz w:val="28"/>
          <w:szCs w:val="28"/>
        </w:rPr>
      </w:pPr>
      <w:r w:rsidRPr="008C36E1">
        <w:rPr>
          <w:rFonts w:ascii="Calibri" w:hAnsi="Calibri" w:cs="Arial"/>
          <w:b/>
          <w:sz w:val="28"/>
          <w:szCs w:val="28"/>
        </w:rPr>
        <w:t xml:space="preserve">Written by: </w:t>
      </w:r>
      <w:r w:rsidRPr="008C36E1">
        <w:rPr>
          <w:rFonts w:ascii="Calibri" w:hAnsi="Calibri" w:cs="Arial"/>
          <w:b/>
          <w:sz w:val="28"/>
          <w:szCs w:val="28"/>
        </w:rPr>
        <w:tab/>
      </w:r>
      <w:r w:rsidR="00904455">
        <w:rPr>
          <w:rFonts w:ascii="Calibri" w:hAnsi="Calibri" w:cs="Arial"/>
          <w:b/>
          <w:sz w:val="28"/>
          <w:szCs w:val="28"/>
        </w:rPr>
        <w:tab/>
      </w:r>
      <w:r w:rsidR="00904455">
        <w:rPr>
          <w:rFonts w:ascii="Calibri" w:hAnsi="Calibri" w:cs="Arial"/>
          <w:b/>
          <w:sz w:val="28"/>
          <w:szCs w:val="28"/>
        </w:rPr>
        <w:tab/>
      </w:r>
      <w:r w:rsidR="005A06A5">
        <w:rPr>
          <w:rFonts w:ascii="Calibri" w:hAnsi="Calibri" w:cs="Arial"/>
          <w:b/>
          <w:sz w:val="28"/>
          <w:szCs w:val="28"/>
        </w:rPr>
        <w:t xml:space="preserve">Head of </w:t>
      </w:r>
      <w:r w:rsidR="00981304">
        <w:rPr>
          <w:rFonts w:ascii="Calibri" w:hAnsi="Calibri" w:cs="Arial"/>
          <w:b/>
          <w:sz w:val="28"/>
          <w:szCs w:val="28"/>
        </w:rPr>
        <w:t xml:space="preserve">People </w:t>
      </w:r>
      <w:r w:rsidR="005A06A5">
        <w:rPr>
          <w:rFonts w:ascii="Calibri" w:hAnsi="Calibri" w:cs="Arial"/>
          <w:b/>
          <w:sz w:val="28"/>
          <w:szCs w:val="28"/>
        </w:rPr>
        <w:t>Operations</w:t>
      </w:r>
      <w:r w:rsidRPr="008C36E1">
        <w:rPr>
          <w:rFonts w:ascii="Calibri" w:hAnsi="Calibri" w:cs="Arial"/>
          <w:b/>
          <w:sz w:val="28"/>
          <w:szCs w:val="28"/>
        </w:rPr>
        <w:tab/>
      </w:r>
      <w:r w:rsidRPr="008C36E1">
        <w:rPr>
          <w:rFonts w:ascii="Calibri" w:hAnsi="Calibri" w:cs="Arial"/>
          <w:b/>
          <w:sz w:val="28"/>
          <w:szCs w:val="28"/>
        </w:rPr>
        <w:tab/>
      </w:r>
    </w:p>
    <w:p w:rsidR="00A02675" w:rsidRPr="008C36E1" w:rsidRDefault="00A02675" w:rsidP="00A02675">
      <w:pPr>
        <w:tabs>
          <w:tab w:val="left" w:pos="580"/>
        </w:tabs>
        <w:spacing w:before="32"/>
        <w:ind w:left="238" w:right="-20"/>
        <w:rPr>
          <w:rFonts w:ascii="Calibri" w:hAnsi="Calibri" w:cs="Arial"/>
          <w:b/>
          <w:sz w:val="28"/>
          <w:szCs w:val="28"/>
        </w:rPr>
      </w:pPr>
    </w:p>
    <w:p w:rsidR="00A02675" w:rsidRPr="008C36E1" w:rsidRDefault="00A02675" w:rsidP="00A02675">
      <w:pPr>
        <w:tabs>
          <w:tab w:val="left" w:pos="580"/>
        </w:tabs>
        <w:spacing w:before="32"/>
        <w:ind w:right="-20"/>
        <w:rPr>
          <w:rFonts w:ascii="Calibri" w:hAnsi="Calibri" w:cs="Arial"/>
          <w:b/>
          <w:sz w:val="28"/>
          <w:szCs w:val="28"/>
        </w:rPr>
      </w:pPr>
      <w:r w:rsidRPr="008C36E1">
        <w:rPr>
          <w:rFonts w:ascii="Calibri" w:hAnsi="Calibri" w:cs="Arial"/>
          <w:b/>
          <w:sz w:val="28"/>
          <w:szCs w:val="28"/>
        </w:rPr>
        <w:t xml:space="preserve">SOP effective from: </w:t>
      </w:r>
      <w:r w:rsidR="004B6DD2">
        <w:rPr>
          <w:rFonts w:ascii="Calibri" w:hAnsi="Calibri" w:cs="Arial"/>
          <w:b/>
          <w:sz w:val="28"/>
          <w:szCs w:val="28"/>
        </w:rPr>
        <w:tab/>
      </w:r>
      <w:r w:rsidR="00D22E35">
        <w:rPr>
          <w:rFonts w:ascii="Calibri" w:hAnsi="Calibri" w:cs="Arial"/>
          <w:b/>
          <w:sz w:val="28"/>
          <w:szCs w:val="28"/>
        </w:rPr>
        <w:t xml:space="preserve">1 </w:t>
      </w:r>
      <w:r w:rsidR="005A06A5">
        <w:rPr>
          <w:rFonts w:ascii="Calibri" w:hAnsi="Calibri" w:cs="Arial"/>
          <w:b/>
          <w:sz w:val="28"/>
          <w:szCs w:val="28"/>
        </w:rPr>
        <w:t>May</w:t>
      </w:r>
      <w:r w:rsidR="00D22E35">
        <w:rPr>
          <w:rFonts w:ascii="Calibri" w:hAnsi="Calibri" w:cs="Arial"/>
          <w:b/>
          <w:sz w:val="28"/>
          <w:szCs w:val="28"/>
        </w:rPr>
        <w:t xml:space="preserve"> 2020</w:t>
      </w:r>
    </w:p>
    <w:p w:rsidR="00A02675" w:rsidRPr="008C36E1" w:rsidRDefault="00A02675" w:rsidP="00A02675">
      <w:pPr>
        <w:tabs>
          <w:tab w:val="left" w:pos="580"/>
        </w:tabs>
        <w:spacing w:before="32"/>
        <w:ind w:right="-20"/>
        <w:rPr>
          <w:rFonts w:ascii="Calibri" w:hAnsi="Calibri" w:cs="Arial"/>
          <w:b/>
          <w:sz w:val="28"/>
          <w:szCs w:val="28"/>
        </w:rPr>
      </w:pPr>
      <w:r w:rsidRPr="008C36E1">
        <w:rPr>
          <w:rFonts w:ascii="Calibri" w:hAnsi="Calibri" w:cs="Arial"/>
          <w:b/>
          <w:sz w:val="28"/>
          <w:szCs w:val="28"/>
        </w:rPr>
        <w:t xml:space="preserve">Date of Next Revision: </w:t>
      </w:r>
      <w:r>
        <w:rPr>
          <w:rFonts w:ascii="Calibri" w:hAnsi="Calibri" w:cs="Arial"/>
          <w:b/>
          <w:sz w:val="28"/>
          <w:szCs w:val="28"/>
        </w:rPr>
        <w:tab/>
      </w:r>
      <w:r w:rsidR="00D22E35">
        <w:rPr>
          <w:rFonts w:ascii="Calibri" w:hAnsi="Calibri" w:cs="Arial"/>
          <w:b/>
          <w:sz w:val="28"/>
          <w:szCs w:val="28"/>
        </w:rPr>
        <w:t xml:space="preserve">1 </w:t>
      </w:r>
      <w:r w:rsidR="005A06A5">
        <w:rPr>
          <w:rFonts w:ascii="Calibri" w:hAnsi="Calibri" w:cs="Arial"/>
          <w:b/>
          <w:sz w:val="28"/>
          <w:szCs w:val="28"/>
        </w:rPr>
        <w:t>May</w:t>
      </w:r>
      <w:r w:rsidR="00D22E35">
        <w:rPr>
          <w:rFonts w:ascii="Calibri" w:hAnsi="Calibri" w:cs="Arial"/>
          <w:b/>
          <w:sz w:val="28"/>
          <w:szCs w:val="28"/>
        </w:rPr>
        <w:t xml:space="preserve"> 2021</w:t>
      </w:r>
    </w:p>
    <w:p w:rsidR="00A02675" w:rsidRDefault="00A02675" w:rsidP="00A02675">
      <w:pPr>
        <w:tabs>
          <w:tab w:val="left" w:pos="580"/>
        </w:tabs>
        <w:spacing w:before="32"/>
        <w:ind w:right="-20"/>
        <w:rPr>
          <w:rFonts w:ascii="Verdana" w:hAnsi="Verdana" w:cs="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
        <w:gridCol w:w="1009"/>
        <w:gridCol w:w="2973"/>
        <w:gridCol w:w="4130"/>
      </w:tblGrid>
      <w:tr w:rsidR="00A02675" w:rsidRPr="00146B97" w:rsidTr="007C2A3E">
        <w:tc>
          <w:tcPr>
            <w:tcW w:w="1163" w:type="dxa"/>
            <w:shd w:val="clear" w:color="auto" w:fill="auto"/>
          </w:tcPr>
          <w:p w:rsidR="00A02675" w:rsidRPr="00631D0B" w:rsidRDefault="00A02675" w:rsidP="007C2A3E">
            <w:pPr>
              <w:jc w:val="center"/>
              <w:rPr>
                <w:rFonts w:ascii="Calibri" w:hAnsi="Calibri" w:cs="Arial"/>
                <w:b/>
                <w:spacing w:val="-2"/>
                <w:sz w:val="22"/>
              </w:rPr>
            </w:pPr>
            <w:r w:rsidRPr="00631D0B">
              <w:rPr>
                <w:rFonts w:ascii="Calibri" w:hAnsi="Calibri" w:cs="Arial"/>
                <w:b/>
                <w:spacing w:val="-2"/>
                <w:sz w:val="22"/>
              </w:rPr>
              <w:t>Version:</w:t>
            </w:r>
          </w:p>
        </w:tc>
        <w:tc>
          <w:tcPr>
            <w:tcW w:w="1068" w:type="dxa"/>
            <w:shd w:val="clear" w:color="auto" w:fill="auto"/>
          </w:tcPr>
          <w:p w:rsidR="00A02675" w:rsidRPr="00631D0B" w:rsidRDefault="00A02675" w:rsidP="007C2A3E">
            <w:pPr>
              <w:jc w:val="center"/>
              <w:rPr>
                <w:rFonts w:ascii="Calibri" w:hAnsi="Calibri" w:cs="Arial"/>
                <w:b/>
                <w:spacing w:val="-2"/>
                <w:sz w:val="22"/>
              </w:rPr>
            </w:pPr>
            <w:r w:rsidRPr="00631D0B">
              <w:rPr>
                <w:rFonts w:ascii="Calibri" w:hAnsi="Calibri" w:cs="Arial"/>
                <w:b/>
                <w:spacing w:val="-2"/>
                <w:sz w:val="22"/>
              </w:rPr>
              <w:t>Date:</w:t>
            </w:r>
          </w:p>
        </w:tc>
        <w:tc>
          <w:tcPr>
            <w:tcW w:w="3341" w:type="dxa"/>
            <w:shd w:val="clear" w:color="auto" w:fill="auto"/>
          </w:tcPr>
          <w:p w:rsidR="00A02675" w:rsidRPr="00631D0B" w:rsidRDefault="00A02675" w:rsidP="007C2A3E">
            <w:pPr>
              <w:jc w:val="center"/>
              <w:rPr>
                <w:rFonts w:ascii="Calibri" w:hAnsi="Calibri" w:cs="Arial"/>
                <w:b/>
                <w:spacing w:val="-2"/>
                <w:sz w:val="22"/>
              </w:rPr>
            </w:pPr>
            <w:r w:rsidRPr="00631D0B">
              <w:rPr>
                <w:rFonts w:ascii="Calibri" w:hAnsi="Calibri" w:cs="Arial"/>
                <w:b/>
                <w:spacing w:val="-2"/>
                <w:sz w:val="22"/>
              </w:rPr>
              <w:t>Modified by:</w:t>
            </w:r>
          </w:p>
        </w:tc>
        <w:tc>
          <w:tcPr>
            <w:tcW w:w="4706" w:type="dxa"/>
            <w:shd w:val="clear" w:color="auto" w:fill="auto"/>
          </w:tcPr>
          <w:p w:rsidR="00A02675" w:rsidRPr="00631D0B" w:rsidRDefault="00A02675" w:rsidP="007C2A3E">
            <w:pPr>
              <w:jc w:val="center"/>
              <w:rPr>
                <w:rFonts w:ascii="Calibri" w:hAnsi="Calibri" w:cs="Arial"/>
                <w:b/>
                <w:spacing w:val="-2"/>
                <w:sz w:val="22"/>
              </w:rPr>
            </w:pPr>
            <w:r w:rsidRPr="00631D0B">
              <w:rPr>
                <w:rFonts w:ascii="Calibri" w:hAnsi="Calibri" w:cs="Arial"/>
                <w:b/>
                <w:spacing w:val="-2"/>
                <w:sz w:val="22"/>
              </w:rPr>
              <w:t>Approved by:</w:t>
            </w:r>
          </w:p>
          <w:p w:rsidR="00A02675" w:rsidRPr="00631D0B" w:rsidRDefault="00A02675" w:rsidP="007C2A3E">
            <w:pPr>
              <w:jc w:val="center"/>
              <w:rPr>
                <w:rFonts w:ascii="Calibri" w:hAnsi="Calibri" w:cs="Arial"/>
                <w:b/>
                <w:spacing w:val="-2"/>
                <w:sz w:val="22"/>
              </w:rPr>
            </w:pPr>
          </w:p>
        </w:tc>
      </w:tr>
      <w:tr w:rsidR="00A02675" w:rsidRPr="00146B97" w:rsidTr="007C2A3E">
        <w:tc>
          <w:tcPr>
            <w:tcW w:w="1163" w:type="dxa"/>
            <w:shd w:val="clear" w:color="auto" w:fill="auto"/>
          </w:tcPr>
          <w:p w:rsidR="00A02675" w:rsidRPr="00631D0B" w:rsidRDefault="00A02675" w:rsidP="007C2A3E">
            <w:pPr>
              <w:jc w:val="center"/>
              <w:rPr>
                <w:rFonts w:ascii="Calibri" w:hAnsi="Calibri" w:cs="Arial"/>
                <w:spacing w:val="-2"/>
                <w:sz w:val="20"/>
              </w:rPr>
            </w:pPr>
          </w:p>
        </w:tc>
        <w:tc>
          <w:tcPr>
            <w:tcW w:w="1068" w:type="dxa"/>
            <w:shd w:val="clear" w:color="auto" w:fill="auto"/>
          </w:tcPr>
          <w:p w:rsidR="00A02675" w:rsidRPr="00631D0B" w:rsidRDefault="00A02675" w:rsidP="007C2A3E">
            <w:pPr>
              <w:jc w:val="center"/>
              <w:rPr>
                <w:rFonts w:ascii="Calibri" w:hAnsi="Calibri" w:cs="Arial"/>
                <w:spacing w:val="-2"/>
                <w:sz w:val="20"/>
              </w:rPr>
            </w:pPr>
          </w:p>
        </w:tc>
        <w:tc>
          <w:tcPr>
            <w:tcW w:w="3341" w:type="dxa"/>
            <w:shd w:val="clear" w:color="auto" w:fill="auto"/>
          </w:tcPr>
          <w:p w:rsidR="00A02675" w:rsidRPr="00631D0B" w:rsidRDefault="00A02675" w:rsidP="007C2A3E">
            <w:pPr>
              <w:jc w:val="center"/>
              <w:rPr>
                <w:rFonts w:ascii="Calibri" w:hAnsi="Calibri" w:cs="Arial"/>
                <w:spacing w:val="-2"/>
                <w:sz w:val="20"/>
              </w:rPr>
            </w:pPr>
          </w:p>
        </w:tc>
        <w:tc>
          <w:tcPr>
            <w:tcW w:w="4706" w:type="dxa"/>
            <w:shd w:val="clear" w:color="auto" w:fill="auto"/>
          </w:tcPr>
          <w:p w:rsidR="00A02675" w:rsidRPr="00631D0B" w:rsidRDefault="00A02675" w:rsidP="007C2A3E">
            <w:pPr>
              <w:jc w:val="center"/>
              <w:rPr>
                <w:rFonts w:ascii="Calibri" w:hAnsi="Calibri" w:cs="Arial"/>
                <w:spacing w:val="-2"/>
                <w:sz w:val="20"/>
              </w:rPr>
            </w:pPr>
          </w:p>
        </w:tc>
      </w:tr>
      <w:tr w:rsidR="00A02675" w:rsidRPr="00146B97" w:rsidTr="007C2A3E">
        <w:tc>
          <w:tcPr>
            <w:tcW w:w="1163" w:type="dxa"/>
            <w:shd w:val="clear" w:color="auto" w:fill="auto"/>
          </w:tcPr>
          <w:p w:rsidR="00A02675" w:rsidRPr="00146B97" w:rsidRDefault="00A02675" w:rsidP="007C2A3E">
            <w:pPr>
              <w:jc w:val="center"/>
              <w:rPr>
                <w:rFonts w:cs="Arial"/>
                <w:spacing w:val="-2"/>
                <w:sz w:val="20"/>
              </w:rPr>
            </w:pPr>
          </w:p>
        </w:tc>
        <w:tc>
          <w:tcPr>
            <w:tcW w:w="1068" w:type="dxa"/>
            <w:shd w:val="clear" w:color="auto" w:fill="auto"/>
          </w:tcPr>
          <w:p w:rsidR="00A02675" w:rsidRPr="00146B97" w:rsidRDefault="00A02675" w:rsidP="007C2A3E">
            <w:pPr>
              <w:jc w:val="center"/>
              <w:rPr>
                <w:rFonts w:cs="Arial"/>
                <w:spacing w:val="-2"/>
                <w:sz w:val="20"/>
              </w:rPr>
            </w:pPr>
          </w:p>
        </w:tc>
        <w:tc>
          <w:tcPr>
            <w:tcW w:w="3341" w:type="dxa"/>
            <w:shd w:val="clear" w:color="auto" w:fill="auto"/>
          </w:tcPr>
          <w:p w:rsidR="00A02675" w:rsidRPr="00146B97" w:rsidRDefault="00A02675" w:rsidP="007C2A3E">
            <w:pPr>
              <w:jc w:val="center"/>
              <w:rPr>
                <w:rFonts w:cs="Arial"/>
                <w:spacing w:val="-2"/>
                <w:sz w:val="20"/>
              </w:rPr>
            </w:pPr>
          </w:p>
        </w:tc>
        <w:tc>
          <w:tcPr>
            <w:tcW w:w="4706" w:type="dxa"/>
            <w:shd w:val="clear" w:color="auto" w:fill="auto"/>
          </w:tcPr>
          <w:p w:rsidR="00A02675" w:rsidRPr="00146B97" w:rsidRDefault="00A02675" w:rsidP="007C2A3E">
            <w:pPr>
              <w:jc w:val="center"/>
              <w:rPr>
                <w:rFonts w:cs="Arial"/>
                <w:spacing w:val="-2"/>
                <w:sz w:val="20"/>
              </w:rPr>
            </w:pPr>
          </w:p>
        </w:tc>
      </w:tr>
      <w:tr w:rsidR="00A02675" w:rsidRPr="00146B97" w:rsidTr="007C2A3E">
        <w:tc>
          <w:tcPr>
            <w:tcW w:w="1163" w:type="dxa"/>
            <w:shd w:val="clear" w:color="auto" w:fill="auto"/>
          </w:tcPr>
          <w:p w:rsidR="00A02675" w:rsidRPr="00146B97" w:rsidRDefault="00A02675" w:rsidP="007C2A3E">
            <w:pPr>
              <w:jc w:val="center"/>
              <w:rPr>
                <w:rFonts w:cs="Arial"/>
                <w:spacing w:val="-2"/>
                <w:sz w:val="20"/>
              </w:rPr>
            </w:pPr>
          </w:p>
        </w:tc>
        <w:tc>
          <w:tcPr>
            <w:tcW w:w="1068" w:type="dxa"/>
            <w:shd w:val="clear" w:color="auto" w:fill="auto"/>
          </w:tcPr>
          <w:p w:rsidR="00A02675" w:rsidRPr="00146B97" w:rsidRDefault="00A02675" w:rsidP="007C2A3E">
            <w:pPr>
              <w:jc w:val="center"/>
              <w:rPr>
                <w:rFonts w:cs="Arial"/>
                <w:spacing w:val="-2"/>
                <w:sz w:val="20"/>
              </w:rPr>
            </w:pPr>
          </w:p>
        </w:tc>
        <w:tc>
          <w:tcPr>
            <w:tcW w:w="3341" w:type="dxa"/>
            <w:shd w:val="clear" w:color="auto" w:fill="auto"/>
          </w:tcPr>
          <w:p w:rsidR="00A02675" w:rsidRPr="00146B97" w:rsidRDefault="00A02675" w:rsidP="007C2A3E">
            <w:pPr>
              <w:jc w:val="center"/>
              <w:rPr>
                <w:rFonts w:cs="Arial"/>
                <w:spacing w:val="-2"/>
                <w:sz w:val="20"/>
              </w:rPr>
            </w:pPr>
          </w:p>
        </w:tc>
        <w:tc>
          <w:tcPr>
            <w:tcW w:w="4706" w:type="dxa"/>
            <w:shd w:val="clear" w:color="auto" w:fill="auto"/>
          </w:tcPr>
          <w:p w:rsidR="00A02675" w:rsidRPr="00146B97" w:rsidRDefault="00A02675" w:rsidP="007C2A3E">
            <w:pPr>
              <w:jc w:val="center"/>
              <w:rPr>
                <w:rFonts w:cs="Arial"/>
                <w:spacing w:val="-2"/>
                <w:sz w:val="20"/>
              </w:rPr>
            </w:pPr>
          </w:p>
        </w:tc>
      </w:tr>
    </w:tbl>
    <w:p w:rsidR="00530190" w:rsidRDefault="00530190" w:rsidP="00266B1E">
      <w:pPr>
        <w:jc w:val="both"/>
        <w:rPr>
          <w:rFonts w:ascii="Verdana" w:hAnsi="Verdana" w:cs="Arial"/>
          <w:sz w:val="32"/>
          <w:szCs w:val="32"/>
        </w:rPr>
      </w:pPr>
    </w:p>
    <w:p w:rsidR="00266B1E" w:rsidRPr="00904455" w:rsidRDefault="00904455" w:rsidP="00266B1E">
      <w:pPr>
        <w:jc w:val="both"/>
        <w:rPr>
          <w:rFonts w:cs="Arial"/>
          <w:b/>
          <w:sz w:val="20"/>
        </w:rPr>
      </w:pPr>
      <w:r>
        <w:rPr>
          <w:rFonts w:cs="Arial"/>
          <w:b/>
          <w:sz w:val="20"/>
        </w:rPr>
        <w:t>1</w:t>
      </w:r>
      <w:r>
        <w:rPr>
          <w:rFonts w:cs="Arial"/>
          <w:b/>
          <w:sz w:val="20"/>
        </w:rPr>
        <w:tab/>
      </w:r>
      <w:r w:rsidR="00266B1E" w:rsidRPr="00904455">
        <w:rPr>
          <w:rFonts w:cs="Arial"/>
          <w:b/>
          <w:sz w:val="20"/>
        </w:rPr>
        <w:t>Purpose</w:t>
      </w:r>
    </w:p>
    <w:p w:rsidR="00266B1E" w:rsidRPr="003668FF" w:rsidRDefault="00266B1E" w:rsidP="00266B1E">
      <w:pPr>
        <w:pStyle w:val="ListParagraph"/>
        <w:jc w:val="both"/>
        <w:rPr>
          <w:rFonts w:cs="Arial"/>
          <w:b/>
          <w:sz w:val="22"/>
        </w:rPr>
      </w:pPr>
    </w:p>
    <w:p w:rsidR="00266B1E" w:rsidRDefault="00266B1E" w:rsidP="00904455">
      <w:pPr>
        <w:pStyle w:val="ListParagraph"/>
        <w:ind w:left="0"/>
        <w:jc w:val="both"/>
        <w:rPr>
          <w:rFonts w:cs="Arial"/>
          <w:sz w:val="20"/>
        </w:rPr>
      </w:pPr>
      <w:r w:rsidRPr="00C07FF2">
        <w:rPr>
          <w:rFonts w:cs="Arial"/>
          <w:sz w:val="20"/>
        </w:rPr>
        <w:t xml:space="preserve">This Standard Operating Procedure (SOP) has been written to </w:t>
      </w:r>
      <w:r w:rsidR="00C45566">
        <w:rPr>
          <w:rFonts w:cs="Arial"/>
          <w:sz w:val="20"/>
        </w:rPr>
        <w:t xml:space="preserve">describe </w:t>
      </w:r>
      <w:r w:rsidRPr="00C07FF2">
        <w:rPr>
          <w:rFonts w:cs="Arial"/>
          <w:sz w:val="20"/>
        </w:rPr>
        <w:t>the procedure</w:t>
      </w:r>
      <w:r w:rsidR="001E7C23">
        <w:rPr>
          <w:rFonts w:cs="Arial"/>
          <w:sz w:val="20"/>
        </w:rPr>
        <w:t>s that should be followed</w:t>
      </w:r>
      <w:r w:rsidRPr="00C07FF2">
        <w:rPr>
          <w:rFonts w:cs="Arial"/>
          <w:sz w:val="20"/>
        </w:rPr>
        <w:t xml:space="preserve"> </w:t>
      </w:r>
      <w:r w:rsidR="005A06A5">
        <w:rPr>
          <w:rFonts w:cs="Arial"/>
          <w:sz w:val="20"/>
        </w:rPr>
        <w:t>in the event of death of an overseas worker.</w:t>
      </w:r>
    </w:p>
    <w:p w:rsidR="001E7C23" w:rsidRDefault="001E7C23" w:rsidP="00904455">
      <w:pPr>
        <w:pStyle w:val="ListParagraph"/>
        <w:ind w:left="0"/>
        <w:jc w:val="both"/>
        <w:rPr>
          <w:rFonts w:cs="Arial"/>
          <w:sz w:val="20"/>
        </w:rPr>
      </w:pPr>
    </w:p>
    <w:p w:rsidR="001E7C23" w:rsidRPr="00C07FF2" w:rsidRDefault="001E7C23" w:rsidP="00904455">
      <w:pPr>
        <w:pStyle w:val="ListParagraph"/>
        <w:ind w:left="0"/>
        <w:jc w:val="both"/>
        <w:rPr>
          <w:rFonts w:cs="Arial"/>
          <w:sz w:val="20"/>
        </w:rPr>
      </w:pPr>
      <w:r>
        <w:rPr>
          <w:rFonts w:cs="Arial"/>
          <w:sz w:val="20"/>
        </w:rPr>
        <w:t xml:space="preserve">Such a document </w:t>
      </w:r>
      <w:r w:rsidR="008E140E">
        <w:rPr>
          <w:rFonts w:cs="Arial"/>
          <w:sz w:val="20"/>
        </w:rPr>
        <w:t>acknowledges</w:t>
      </w:r>
      <w:r>
        <w:rPr>
          <w:rFonts w:cs="Arial"/>
          <w:sz w:val="20"/>
        </w:rPr>
        <w:t xml:space="preserve"> the change in diversity that has been seen </w:t>
      </w:r>
      <w:r w:rsidR="008E140E">
        <w:rPr>
          <w:rFonts w:cs="Arial"/>
          <w:sz w:val="20"/>
        </w:rPr>
        <w:t>across</w:t>
      </w:r>
      <w:r>
        <w:rPr>
          <w:rFonts w:cs="Arial"/>
          <w:sz w:val="20"/>
        </w:rPr>
        <w:t xml:space="preserve"> the Trust’s workforce </w:t>
      </w:r>
      <w:r w:rsidR="008E140E">
        <w:rPr>
          <w:rFonts w:cs="Arial"/>
          <w:sz w:val="20"/>
        </w:rPr>
        <w:t xml:space="preserve">in recent times </w:t>
      </w:r>
      <w:r>
        <w:rPr>
          <w:rFonts w:cs="Arial"/>
          <w:sz w:val="20"/>
        </w:rPr>
        <w:t xml:space="preserve">and details specific </w:t>
      </w:r>
      <w:r w:rsidR="008E140E">
        <w:rPr>
          <w:rFonts w:cs="Arial"/>
          <w:sz w:val="20"/>
        </w:rPr>
        <w:t>cultural differences that M</w:t>
      </w:r>
      <w:r>
        <w:rPr>
          <w:rFonts w:cs="Arial"/>
          <w:sz w:val="20"/>
        </w:rPr>
        <w:t xml:space="preserve">anagers </w:t>
      </w:r>
      <w:r w:rsidR="008E140E">
        <w:rPr>
          <w:rFonts w:cs="Arial"/>
          <w:sz w:val="20"/>
        </w:rPr>
        <w:t xml:space="preserve">will </w:t>
      </w:r>
      <w:r>
        <w:rPr>
          <w:rFonts w:cs="Arial"/>
          <w:sz w:val="20"/>
        </w:rPr>
        <w:t xml:space="preserve">need to consider </w:t>
      </w:r>
      <w:r w:rsidR="008E140E">
        <w:rPr>
          <w:rFonts w:cs="Arial"/>
          <w:sz w:val="20"/>
        </w:rPr>
        <w:t>when dealing with such situations.</w:t>
      </w:r>
    </w:p>
    <w:p w:rsidR="00266B1E" w:rsidRPr="00C07FF2" w:rsidRDefault="00266B1E" w:rsidP="00F90D8A">
      <w:pPr>
        <w:jc w:val="both"/>
        <w:rPr>
          <w:rFonts w:cs="Arial"/>
          <w:sz w:val="20"/>
        </w:rPr>
      </w:pPr>
    </w:p>
    <w:p w:rsidR="00266B1E" w:rsidRPr="00904455" w:rsidRDefault="00904455" w:rsidP="00F90D8A">
      <w:pPr>
        <w:jc w:val="both"/>
        <w:rPr>
          <w:rFonts w:cs="Arial"/>
          <w:b/>
          <w:sz w:val="20"/>
        </w:rPr>
      </w:pPr>
      <w:r>
        <w:rPr>
          <w:rFonts w:cs="Arial"/>
          <w:b/>
          <w:sz w:val="20"/>
        </w:rPr>
        <w:t>2</w:t>
      </w:r>
      <w:r>
        <w:rPr>
          <w:rFonts w:cs="Arial"/>
          <w:b/>
          <w:sz w:val="20"/>
        </w:rPr>
        <w:tab/>
      </w:r>
      <w:r w:rsidR="00266B1E" w:rsidRPr="00904455">
        <w:rPr>
          <w:rFonts w:cs="Arial"/>
          <w:b/>
          <w:sz w:val="20"/>
        </w:rPr>
        <w:t>Introduction</w:t>
      </w:r>
    </w:p>
    <w:p w:rsidR="008D778F" w:rsidRDefault="008D778F" w:rsidP="00F90D8A">
      <w:pPr>
        <w:jc w:val="both"/>
        <w:rPr>
          <w:rFonts w:cs="Arial"/>
          <w:b/>
          <w:sz w:val="22"/>
          <w:szCs w:val="22"/>
        </w:rPr>
      </w:pPr>
    </w:p>
    <w:p w:rsidR="001E7C23" w:rsidRDefault="001E7C23" w:rsidP="00904455">
      <w:pPr>
        <w:jc w:val="both"/>
        <w:rPr>
          <w:rFonts w:cs="Arial"/>
          <w:sz w:val="20"/>
        </w:rPr>
      </w:pPr>
      <w:r>
        <w:rPr>
          <w:rFonts w:cs="Arial"/>
          <w:sz w:val="20"/>
        </w:rPr>
        <w:t>Salisbury NHS Foundation Trust (The Trust) are committed to ensure that in the sad event of death to an overseas worker during their service at the Trust</w:t>
      </w:r>
      <w:r w:rsidR="008E140E">
        <w:rPr>
          <w:rFonts w:cs="Arial"/>
          <w:sz w:val="20"/>
        </w:rPr>
        <w:t>, that their wishes and those of their next of kin are respected at all times. This will be in accordance with the Trust’s values and any applicable legal requirements</w:t>
      </w:r>
    </w:p>
    <w:p w:rsidR="00CB3949" w:rsidRDefault="00CB3949" w:rsidP="00904455">
      <w:pPr>
        <w:jc w:val="both"/>
        <w:rPr>
          <w:rFonts w:cs="Arial"/>
          <w:sz w:val="20"/>
        </w:rPr>
      </w:pPr>
    </w:p>
    <w:p w:rsidR="005E5FEF" w:rsidRDefault="00CB3949" w:rsidP="00904455">
      <w:pPr>
        <w:jc w:val="both"/>
        <w:rPr>
          <w:rFonts w:cs="Arial"/>
          <w:sz w:val="20"/>
        </w:rPr>
      </w:pPr>
      <w:r>
        <w:rPr>
          <w:rFonts w:cs="Arial"/>
          <w:sz w:val="20"/>
        </w:rPr>
        <w:t>Should the death occur during a pandemic, the Trust will refer to government guidance</w:t>
      </w:r>
      <w:r w:rsidR="008E140E">
        <w:rPr>
          <w:rFonts w:cs="Arial"/>
          <w:sz w:val="20"/>
        </w:rPr>
        <w:t xml:space="preserve"> linked to </w:t>
      </w:r>
      <w:r w:rsidR="005E5FEF">
        <w:rPr>
          <w:rFonts w:cs="Arial"/>
          <w:sz w:val="20"/>
        </w:rPr>
        <w:t xml:space="preserve">any </w:t>
      </w:r>
      <w:r>
        <w:rPr>
          <w:rFonts w:cs="Arial"/>
          <w:sz w:val="20"/>
        </w:rPr>
        <w:t xml:space="preserve">specific requirements </w:t>
      </w:r>
      <w:r w:rsidR="008E140E">
        <w:rPr>
          <w:rFonts w:cs="Arial"/>
          <w:sz w:val="20"/>
        </w:rPr>
        <w:t xml:space="preserve">that might apply </w:t>
      </w:r>
      <w:r w:rsidR="004616DE">
        <w:rPr>
          <w:rFonts w:cs="Arial"/>
          <w:sz w:val="20"/>
        </w:rPr>
        <w:t>to management</w:t>
      </w:r>
      <w:r w:rsidR="008E140E">
        <w:rPr>
          <w:rFonts w:cs="Arial"/>
          <w:sz w:val="20"/>
        </w:rPr>
        <w:t xml:space="preserve"> </w:t>
      </w:r>
      <w:r>
        <w:rPr>
          <w:rFonts w:cs="Arial"/>
          <w:sz w:val="20"/>
        </w:rPr>
        <w:t xml:space="preserve">of the </w:t>
      </w:r>
      <w:proofErr w:type="gramStart"/>
      <w:r>
        <w:rPr>
          <w:rFonts w:cs="Arial"/>
          <w:sz w:val="20"/>
        </w:rPr>
        <w:t>deceased.</w:t>
      </w:r>
      <w:proofErr w:type="gramEnd"/>
      <w:r>
        <w:rPr>
          <w:rFonts w:cs="Arial"/>
          <w:sz w:val="20"/>
        </w:rPr>
        <w:t xml:space="preserve"> </w:t>
      </w:r>
      <w:r w:rsidR="005E5FEF">
        <w:rPr>
          <w:rFonts w:cs="Arial"/>
          <w:sz w:val="20"/>
        </w:rPr>
        <w:t>This would include any guidance on travel restrictions which could affect repatriation.</w:t>
      </w:r>
    </w:p>
    <w:p w:rsidR="003C0B25" w:rsidRPr="001606C4" w:rsidRDefault="003C0B25" w:rsidP="00F90D8A">
      <w:pPr>
        <w:ind w:left="720"/>
        <w:jc w:val="both"/>
        <w:rPr>
          <w:rFonts w:cs="Tahoma"/>
          <w:sz w:val="20"/>
        </w:rPr>
      </w:pPr>
    </w:p>
    <w:p w:rsidR="00752CC1" w:rsidRPr="00904455" w:rsidRDefault="00904455" w:rsidP="00F90D8A">
      <w:pPr>
        <w:jc w:val="both"/>
        <w:rPr>
          <w:rFonts w:cs="Arial"/>
          <w:b/>
          <w:sz w:val="20"/>
        </w:rPr>
      </w:pPr>
      <w:r>
        <w:rPr>
          <w:rFonts w:cs="Arial"/>
          <w:b/>
          <w:sz w:val="20"/>
        </w:rPr>
        <w:t>3</w:t>
      </w:r>
      <w:r>
        <w:rPr>
          <w:rFonts w:cs="Arial"/>
          <w:b/>
          <w:sz w:val="20"/>
        </w:rPr>
        <w:tab/>
      </w:r>
      <w:r w:rsidR="00752CC1" w:rsidRPr="00904455">
        <w:rPr>
          <w:rFonts w:cs="Arial"/>
          <w:b/>
          <w:sz w:val="20"/>
        </w:rPr>
        <w:t>Responsibility</w:t>
      </w:r>
    </w:p>
    <w:p w:rsidR="00752CC1" w:rsidRDefault="00752CC1" w:rsidP="00F90D8A">
      <w:pPr>
        <w:jc w:val="both"/>
        <w:rPr>
          <w:rFonts w:cs="Arial"/>
          <w:b/>
          <w:sz w:val="22"/>
        </w:rPr>
      </w:pPr>
    </w:p>
    <w:p w:rsidR="004616DE" w:rsidRDefault="00752CC1" w:rsidP="004616DE">
      <w:pPr>
        <w:jc w:val="both"/>
        <w:rPr>
          <w:rFonts w:cs="Arial"/>
          <w:sz w:val="20"/>
        </w:rPr>
      </w:pPr>
      <w:r w:rsidRPr="00C07FF2">
        <w:rPr>
          <w:rFonts w:cs="Arial"/>
          <w:sz w:val="20"/>
        </w:rPr>
        <w:t xml:space="preserve">The person with overall responsibility for ensuring this SOP is adhered to and kept up to date is the </w:t>
      </w:r>
      <w:r w:rsidR="00904455">
        <w:rPr>
          <w:rFonts w:cs="Arial"/>
          <w:sz w:val="20"/>
        </w:rPr>
        <w:t xml:space="preserve">Head of </w:t>
      </w:r>
      <w:r w:rsidR="00981304">
        <w:rPr>
          <w:rFonts w:cs="Arial"/>
          <w:sz w:val="20"/>
        </w:rPr>
        <w:t xml:space="preserve">People </w:t>
      </w:r>
      <w:r w:rsidR="003E5506">
        <w:rPr>
          <w:rFonts w:cs="Arial"/>
          <w:sz w:val="20"/>
        </w:rPr>
        <w:t>Operations</w:t>
      </w:r>
    </w:p>
    <w:p w:rsidR="0004316E" w:rsidRDefault="0004316E" w:rsidP="004616DE">
      <w:pPr>
        <w:jc w:val="both"/>
        <w:rPr>
          <w:rFonts w:cs="Arial"/>
          <w:sz w:val="20"/>
        </w:rPr>
      </w:pPr>
    </w:p>
    <w:p w:rsidR="0004316E" w:rsidRDefault="0004316E" w:rsidP="004616DE">
      <w:pPr>
        <w:jc w:val="both"/>
        <w:rPr>
          <w:rFonts w:cs="Arial"/>
          <w:sz w:val="20"/>
        </w:rPr>
      </w:pPr>
    </w:p>
    <w:p w:rsidR="0004316E" w:rsidRDefault="0004316E" w:rsidP="004616DE">
      <w:pPr>
        <w:jc w:val="both"/>
        <w:rPr>
          <w:rFonts w:cs="Arial"/>
          <w:sz w:val="20"/>
        </w:rPr>
      </w:pPr>
    </w:p>
    <w:p w:rsidR="0004316E" w:rsidRDefault="0004316E" w:rsidP="004616DE">
      <w:pPr>
        <w:jc w:val="both"/>
        <w:rPr>
          <w:rFonts w:cs="Arial"/>
          <w:sz w:val="20"/>
        </w:rPr>
      </w:pPr>
      <w:bookmarkStart w:id="0" w:name="_GoBack"/>
      <w:bookmarkEnd w:id="0"/>
    </w:p>
    <w:p w:rsidR="004616DE" w:rsidRPr="00266B1E" w:rsidRDefault="004616DE" w:rsidP="004616DE">
      <w:pPr>
        <w:jc w:val="both"/>
        <w:rPr>
          <w:rFonts w:cs="Arial"/>
          <w:sz w:val="22"/>
          <w:szCs w:val="22"/>
        </w:rPr>
      </w:pPr>
    </w:p>
    <w:p w:rsidR="00A02675" w:rsidRPr="00904455" w:rsidRDefault="00904455" w:rsidP="00F90D8A">
      <w:pPr>
        <w:jc w:val="both"/>
        <w:rPr>
          <w:b/>
          <w:sz w:val="20"/>
        </w:rPr>
      </w:pPr>
      <w:r>
        <w:rPr>
          <w:b/>
          <w:sz w:val="20"/>
        </w:rPr>
        <w:lastRenderedPageBreak/>
        <w:t>4</w:t>
      </w:r>
      <w:r>
        <w:rPr>
          <w:b/>
          <w:sz w:val="20"/>
        </w:rPr>
        <w:tab/>
      </w:r>
      <w:r w:rsidR="00752CC1" w:rsidRPr="00904455">
        <w:rPr>
          <w:b/>
          <w:sz w:val="20"/>
        </w:rPr>
        <w:t>Procedure</w:t>
      </w:r>
    </w:p>
    <w:p w:rsidR="00C07FF2" w:rsidRDefault="00C07FF2" w:rsidP="00F90D8A">
      <w:pPr>
        <w:jc w:val="both"/>
        <w:rPr>
          <w:b/>
        </w:rPr>
      </w:pPr>
    </w:p>
    <w:p w:rsidR="00C424E6" w:rsidRDefault="00C424E6" w:rsidP="00F90D8A">
      <w:pPr>
        <w:jc w:val="both"/>
        <w:rPr>
          <w:sz w:val="20"/>
        </w:rPr>
      </w:pPr>
      <w:r w:rsidRPr="00C424E6">
        <w:rPr>
          <w:sz w:val="20"/>
        </w:rPr>
        <w:t xml:space="preserve">This procedure </w:t>
      </w:r>
      <w:r>
        <w:rPr>
          <w:sz w:val="20"/>
        </w:rPr>
        <w:t xml:space="preserve">is designed to </w:t>
      </w:r>
      <w:r w:rsidR="00904455">
        <w:rPr>
          <w:sz w:val="20"/>
        </w:rPr>
        <w:t xml:space="preserve">cover </w:t>
      </w:r>
      <w:r w:rsidR="009D7FE6">
        <w:rPr>
          <w:sz w:val="20"/>
        </w:rPr>
        <w:t>those workers who have been employed from overseas to work in the Trust</w:t>
      </w:r>
      <w:r w:rsidR="00981304">
        <w:rPr>
          <w:sz w:val="20"/>
        </w:rPr>
        <w:t xml:space="preserve"> and provides information on cultural requirements which will need to be adhered to sensitively.</w:t>
      </w:r>
    </w:p>
    <w:p w:rsidR="00981304" w:rsidRDefault="00981304" w:rsidP="00F90D8A">
      <w:pPr>
        <w:jc w:val="both"/>
        <w:rPr>
          <w:sz w:val="20"/>
        </w:rPr>
      </w:pPr>
    </w:p>
    <w:p w:rsidR="00981304" w:rsidRDefault="005E5FEF" w:rsidP="00F90D8A">
      <w:pPr>
        <w:jc w:val="both"/>
        <w:rPr>
          <w:sz w:val="20"/>
        </w:rPr>
      </w:pPr>
      <w:r>
        <w:rPr>
          <w:sz w:val="20"/>
        </w:rPr>
        <w:t>This procedure which should be read in conjunction</w:t>
      </w:r>
      <w:r w:rsidR="00102AB5">
        <w:rPr>
          <w:sz w:val="20"/>
        </w:rPr>
        <w:t xml:space="preserve"> with the Death in Service P</w:t>
      </w:r>
      <w:r>
        <w:rPr>
          <w:sz w:val="20"/>
        </w:rPr>
        <w:t xml:space="preserve">olicy is applicable to those Trust employees who have been directly recruited from overseas or who originate from a country outside of the UK. </w:t>
      </w:r>
    </w:p>
    <w:p w:rsidR="005E5FEF" w:rsidRDefault="005E5FEF" w:rsidP="00F90D8A">
      <w:pPr>
        <w:jc w:val="both"/>
        <w:rPr>
          <w:sz w:val="20"/>
        </w:rPr>
      </w:pPr>
    </w:p>
    <w:p w:rsidR="00981304" w:rsidRPr="00C424E6" w:rsidRDefault="005E5FEF" w:rsidP="00F90D8A">
      <w:pPr>
        <w:jc w:val="both"/>
        <w:rPr>
          <w:sz w:val="20"/>
        </w:rPr>
      </w:pPr>
      <w:r>
        <w:rPr>
          <w:sz w:val="20"/>
        </w:rPr>
        <w:t>The procedure also highlights information linked to cultural requirements that the Trust will need to adhere to sensitively.</w:t>
      </w:r>
    </w:p>
    <w:p w:rsidR="00BA25BE" w:rsidRDefault="00BA25BE" w:rsidP="00B42E6C">
      <w:pPr>
        <w:jc w:val="both"/>
        <w:rPr>
          <w:b/>
          <w:sz w:val="20"/>
        </w:rPr>
      </w:pPr>
    </w:p>
    <w:p w:rsidR="00F30FE7" w:rsidRDefault="00904455" w:rsidP="00B42E6C">
      <w:pPr>
        <w:jc w:val="both"/>
        <w:rPr>
          <w:b/>
          <w:sz w:val="20"/>
        </w:rPr>
      </w:pPr>
      <w:r>
        <w:rPr>
          <w:b/>
          <w:sz w:val="20"/>
        </w:rPr>
        <w:t>5</w:t>
      </w:r>
      <w:r>
        <w:rPr>
          <w:b/>
          <w:sz w:val="20"/>
        </w:rPr>
        <w:tab/>
      </w:r>
      <w:r w:rsidR="00102AB5">
        <w:rPr>
          <w:b/>
          <w:sz w:val="20"/>
        </w:rPr>
        <w:t>Informing the next of kin of the death</w:t>
      </w:r>
    </w:p>
    <w:p w:rsidR="004616DE" w:rsidRDefault="004616DE" w:rsidP="00B42E6C">
      <w:pPr>
        <w:jc w:val="both"/>
        <w:rPr>
          <w:sz w:val="20"/>
        </w:rPr>
      </w:pPr>
    </w:p>
    <w:p w:rsidR="00102AB5" w:rsidRDefault="00102AB5" w:rsidP="00B42E6C">
      <w:pPr>
        <w:jc w:val="both"/>
        <w:rPr>
          <w:sz w:val="20"/>
        </w:rPr>
      </w:pPr>
      <w:r>
        <w:rPr>
          <w:sz w:val="20"/>
        </w:rPr>
        <w:t>Following the procedure outlined in the Death in Service Policy, the Line Manager should contact the OD</w:t>
      </w:r>
      <w:r w:rsidR="00F41536">
        <w:rPr>
          <w:sz w:val="20"/>
        </w:rPr>
        <w:t xml:space="preserve"> </w:t>
      </w:r>
      <w:r>
        <w:rPr>
          <w:sz w:val="20"/>
        </w:rPr>
        <w:t>&amp;</w:t>
      </w:r>
      <w:r w:rsidR="00F41536">
        <w:rPr>
          <w:sz w:val="20"/>
        </w:rPr>
        <w:t xml:space="preserve"> </w:t>
      </w:r>
      <w:r>
        <w:rPr>
          <w:sz w:val="20"/>
        </w:rPr>
        <w:t>P</w:t>
      </w:r>
      <w:r w:rsidR="00F41536">
        <w:rPr>
          <w:sz w:val="20"/>
        </w:rPr>
        <w:t>eople</w:t>
      </w:r>
      <w:r>
        <w:rPr>
          <w:sz w:val="20"/>
        </w:rPr>
        <w:t xml:space="preserve"> department to request next of kin details</w:t>
      </w:r>
      <w:r w:rsidR="00F41536">
        <w:rPr>
          <w:sz w:val="20"/>
        </w:rPr>
        <w:t>.</w:t>
      </w:r>
    </w:p>
    <w:p w:rsidR="003E5506" w:rsidRDefault="003E5506" w:rsidP="00B42E6C">
      <w:pPr>
        <w:jc w:val="both"/>
        <w:rPr>
          <w:sz w:val="20"/>
        </w:rPr>
      </w:pPr>
    </w:p>
    <w:p w:rsidR="0052524D" w:rsidRDefault="009D7FE6" w:rsidP="00B42E6C">
      <w:pPr>
        <w:jc w:val="both"/>
        <w:rPr>
          <w:sz w:val="20"/>
        </w:rPr>
      </w:pPr>
      <w:commentRangeStart w:id="1"/>
      <w:r>
        <w:rPr>
          <w:sz w:val="20"/>
        </w:rPr>
        <w:t>Unless the clinical team have already informed the next of kin, t</w:t>
      </w:r>
      <w:r w:rsidR="003E5506">
        <w:rPr>
          <w:sz w:val="20"/>
        </w:rPr>
        <w:t xml:space="preserve">he </w:t>
      </w:r>
      <w:r>
        <w:rPr>
          <w:sz w:val="20"/>
        </w:rPr>
        <w:t>relevant Director will contact them to advise them of the news.</w:t>
      </w:r>
      <w:commentRangeEnd w:id="1"/>
      <w:r w:rsidR="00C5141B">
        <w:rPr>
          <w:rStyle w:val="CommentReference"/>
        </w:rPr>
        <w:commentReference w:id="1"/>
      </w:r>
      <w:r w:rsidR="00C5141B">
        <w:rPr>
          <w:sz w:val="20"/>
        </w:rPr>
        <w:t xml:space="preserve"> </w:t>
      </w:r>
    </w:p>
    <w:p w:rsidR="0052524D" w:rsidRDefault="0052524D" w:rsidP="00B42E6C">
      <w:pPr>
        <w:jc w:val="both"/>
        <w:rPr>
          <w:sz w:val="20"/>
        </w:rPr>
      </w:pPr>
    </w:p>
    <w:p w:rsidR="00102AB5" w:rsidRDefault="00102AB5" w:rsidP="00B42E6C">
      <w:pPr>
        <w:jc w:val="both"/>
        <w:rPr>
          <w:sz w:val="20"/>
        </w:rPr>
      </w:pPr>
      <w:r>
        <w:rPr>
          <w:sz w:val="20"/>
        </w:rPr>
        <w:t xml:space="preserve">These details should be passed to the relevant Clinical Director/Head of </w:t>
      </w:r>
      <w:proofErr w:type="gramStart"/>
      <w:r>
        <w:rPr>
          <w:sz w:val="20"/>
        </w:rPr>
        <w:t>Nursing</w:t>
      </w:r>
      <w:proofErr w:type="gramEnd"/>
      <w:r>
        <w:rPr>
          <w:sz w:val="20"/>
        </w:rPr>
        <w:t xml:space="preserve"> to enable contact with the next of kin to be made</w:t>
      </w:r>
    </w:p>
    <w:p w:rsidR="00102AB5" w:rsidRDefault="00102AB5" w:rsidP="00B42E6C">
      <w:pPr>
        <w:jc w:val="both"/>
        <w:rPr>
          <w:sz w:val="20"/>
        </w:rPr>
      </w:pPr>
    </w:p>
    <w:p w:rsidR="00102AB5" w:rsidRDefault="00102AB5" w:rsidP="00B42E6C">
      <w:pPr>
        <w:jc w:val="both"/>
        <w:rPr>
          <w:sz w:val="20"/>
        </w:rPr>
      </w:pPr>
      <w:r>
        <w:rPr>
          <w:sz w:val="20"/>
        </w:rPr>
        <w:t>Discussions at this point must establish any specific religious beliefs/requirements (see below) and any requirements linked to repatriation. The Trust is committed to work closely with the next of kin to ensure that such requirements are met wherever possible.</w:t>
      </w:r>
    </w:p>
    <w:p w:rsidR="0022382D" w:rsidRDefault="0022382D" w:rsidP="00B42E6C">
      <w:pPr>
        <w:jc w:val="both"/>
        <w:rPr>
          <w:sz w:val="20"/>
        </w:rPr>
      </w:pPr>
    </w:p>
    <w:p w:rsidR="00904455" w:rsidRPr="00904455" w:rsidRDefault="00C5141B" w:rsidP="00B42E6C">
      <w:pPr>
        <w:jc w:val="both"/>
        <w:rPr>
          <w:b/>
          <w:sz w:val="20"/>
        </w:rPr>
      </w:pPr>
      <w:r>
        <w:rPr>
          <w:b/>
          <w:sz w:val="20"/>
        </w:rPr>
        <w:t>6</w:t>
      </w:r>
      <w:r w:rsidR="00904455">
        <w:rPr>
          <w:b/>
          <w:sz w:val="20"/>
        </w:rPr>
        <w:tab/>
      </w:r>
      <w:r>
        <w:rPr>
          <w:b/>
          <w:sz w:val="20"/>
        </w:rPr>
        <w:t>Requirements</w:t>
      </w:r>
      <w:r w:rsidR="00066A7A">
        <w:rPr>
          <w:b/>
          <w:sz w:val="20"/>
        </w:rPr>
        <w:t xml:space="preserve"> and observations </w:t>
      </w:r>
      <w:r>
        <w:rPr>
          <w:b/>
          <w:sz w:val="20"/>
        </w:rPr>
        <w:t xml:space="preserve">in the event of death of an overseas worker by </w:t>
      </w:r>
      <w:r w:rsidR="00206E33">
        <w:rPr>
          <w:b/>
          <w:sz w:val="20"/>
        </w:rPr>
        <w:t>religion</w:t>
      </w:r>
    </w:p>
    <w:p w:rsidR="001926AC" w:rsidRDefault="001926AC" w:rsidP="00B42E6C">
      <w:pPr>
        <w:jc w:val="both"/>
        <w:rPr>
          <w:sz w:val="20"/>
        </w:rPr>
      </w:pPr>
    </w:p>
    <w:p w:rsidR="0022382D" w:rsidRPr="0022382D" w:rsidRDefault="00C5141B" w:rsidP="00B42E6C">
      <w:pPr>
        <w:jc w:val="both"/>
        <w:rPr>
          <w:b/>
          <w:sz w:val="20"/>
        </w:rPr>
      </w:pPr>
      <w:r>
        <w:rPr>
          <w:b/>
          <w:sz w:val="20"/>
        </w:rPr>
        <w:t>6.1</w:t>
      </w:r>
      <w:r w:rsidR="0022382D" w:rsidRPr="0022382D">
        <w:rPr>
          <w:b/>
          <w:sz w:val="20"/>
        </w:rPr>
        <w:tab/>
      </w:r>
      <w:r w:rsidR="006A6DA2">
        <w:rPr>
          <w:b/>
          <w:sz w:val="20"/>
        </w:rPr>
        <w:t>Buddhism</w:t>
      </w:r>
    </w:p>
    <w:p w:rsidR="007F2A12" w:rsidRDefault="007F2A12" w:rsidP="00B42E6C">
      <w:pPr>
        <w:jc w:val="both"/>
        <w:rPr>
          <w:sz w:val="20"/>
        </w:rPr>
      </w:pPr>
    </w:p>
    <w:p w:rsidR="004B420B" w:rsidRDefault="00CB3949" w:rsidP="00B42E6C">
      <w:pPr>
        <w:jc w:val="both"/>
        <w:rPr>
          <w:sz w:val="20"/>
        </w:rPr>
      </w:pPr>
      <w:r>
        <w:rPr>
          <w:sz w:val="20"/>
        </w:rPr>
        <w:t xml:space="preserve">Many Buddhists believe that the soul </w:t>
      </w:r>
      <w:r w:rsidR="00102AB5">
        <w:rPr>
          <w:sz w:val="20"/>
        </w:rPr>
        <w:t xml:space="preserve">of the deceased </w:t>
      </w:r>
      <w:r>
        <w:rPr>
          <w:sz w:val="20"/>
        </w:rPr>
        <w:t xml:space="preserve">does not leave the body immediately. Therefore it is crucial </w:t>
      </w:r>
      <w:r w:rsidR="00EC71C3">
        <w:rPr>
          <w:sz w:val="20"/>
        </w:rPr>
        <w:t xml:space="preserve">for </w:t>
      </w:r>
      <w:r>
        <w:rPr>
          <w:sz w:val="20"/>
        </w:rPr>
        <w:t xml:space="preserve">the corpse </w:t>
      </w:r>
      <w:r w:rsidR="00EC71C3">
        <w:rPr>
          <w:sz w:val="20"/>
        </w:rPr>
        <w:t xml:space="preserve">to </w:t>
      </w:r>
      <w:r w:rsidR="004616DE">
        <w:rPr>
          <w:sz w:val="20"/>
        </w:rPr>
        <w:t>be treated</w:t>
      </w:r>
      <w:r>
        <w:rPr>
          <w:sz w:val="20"/>
        </w:rPr>
        <w:t xml:space="preserve"> like a living person and moved with respect. It is customary for Buddhists and family members to chant sacred texts at the time of death.</w:t>
      </w:r>
    </w:p>
    <w:p w:rsidR="004B420B" w:rsidRDefault="004B420B" w:rsidP="00B42E6C">
      <w:pPr>
        <w:jc w:val="both"/>
        <w:rPr>
          <w:sz w:val="20"/>
        </w:rPr>
      </w:pPr>
    </w:p>
    <w:p w:rsidR="007F2A12" w:rsidRDefault="00C5141B" w:rsidP="00B42E6C">
      <w:pPr>
        <w:jc w:val="both"/>
        <w:rPr>
          <w:b/>
          <w:sz w:val="20"/>
        </w:rPr>
      </w:pPr>
      <w:r>
        <w:rPr>
          <w:b/>
          <w:sz w:val="20"/>
        </w:rPr>
        <w:t xml:space="preserve">6.2        </w:t>
      </w:r>
      <w:r w:rsidR="006A6DA2">
        <w:rPr>
          <w:b/>
          <w:sz w:val="20"/>
        </w:rPr>
        <w:t>Christianity</w:t>
      </w:r>
    </w:p>
    <w:p w:rsidR="009508D9" w:rsidRDefault="009508D9" w:rsidP="00B42E6C">
      <w:pPr>
        <w:jc w:val="both"/>
        <w:rPr>
          <w:sz w:val="20"/>
        </w:rPr>
      </w:pPr>
    </w:p>
    <w:p w:rsidR="00EC71C3" w:rsidRPr="00CB3949" w:rsidRDefault="00CB3949" w:rsidP="00B42E6C">
      <w:pPr>
        <w:jc w:val="both"/>
        <w:rPr>
          <w:sz w:val="20"/>
        </w:rPr>
      </w:pPr>
      <w:r>
        <w:rPr>
          <w:sz w:val="20"/>
        </w:rPr>
        <w:t xml:space="preserve">Some Christians will appreciate quiet contemplation </w:t>
      </w:r>
      <w:r w:rsidR="00EC71C3">
        <w:rPr>
          <w:sz w:val="20"/>
        </w:rPr>
        <w:t xml:space="preserve">while </w:t>
      </w:r>
      <w:r>
        <w:rPr>
          <w:sz w:val="20"/>
        </w:rPr>
        <w:t xml:space="preserve">others will value prayers and </w:t>
      </w:r>
      <w:r w:rsidR="00EC71C3">
        <w:rPr>
          <w:sz w:val="20"/>
        </w:rPr>
        <w:t xml:space="preserve">the </w:t>
      </w:r>
      <w:r>
        <w:rPr>
          <w:sz w:val="20"/>
        </w:rPr>
        <w:t xml:space="preserve">reading of scriptures. A priest or minister may be called to say prayers for someone who is dying.  Catholics and Orthodox </w:t>
      </w:r>
      <w:r w:rsidR="00F41536">
        <w:rPr>
          <w:sz w:val="20"/>
        </w:rPr>
        <w:t>Christians</w:t>
      </w:r>
      <w:r w:rsidR="00F41536">
        <w:rPr>
          <w:sz w:val="20"/>
        </w:rPr>
        <w:t xml:space="preserve"> </w:t>
      </w:r>
      <w:r>
        <w:rPr>
          <w:sz w:val="20"/>
        </w:rPr>
        <w:t>may want to confess to a priest before they die.  Funeral services may be held in churches or chapels</w:t>
      </w:r>
      <w:r w:rsidR="008C665C">
        <w:rPr>
          <w:sz w:val="20"/>
        </w:rPr>
        <w:t>. People may then be buried or in some cases cremated. Many Catholics oppose cremation, because of the belief in resurrection of the body and soul at the second coming of Jesus.</w:t>
      </w:r>
    </w:p>
    <w:p w:rsidR="00CB3949" w:rsidRDefault="00CB3949" w:rsidP="00B42E6C">
      <w:pPr>
        <w:jc w:val="both"/>
        <w:rPr>
          <w:b/>
          <w:sz w:val="20"/>
        </w:rPr>
      </w:pPr>
    </w:p>
    <w:p w:rsidR="009508D9" w:rsidRDefault="009508D9" w:rsidP="00B42E6C">
      <w:pPr>
        <w:jc w:val="both"/>
        <w:rPr>
          <w:b/>
          <w:sz w:val="20"/>
        </w:rPr>
      </w:pPr>
      <w:r>
        <w:rPr>
          <w:b/>
          <w:sz w:val="20"/>
        </w:rPr>
        <w:t xml:space="preserve">6.3 </w:t>
      </w:r>
      <w:r>
        <w:rPr>
          <w:b/>
          <w:sz w:val="20"/>
        </w:rPr>
        <w:tab/>
      </w:r>
      <w:r w:rsidR="006A6DA2">
        <w:rPr>
          <w:b/>
          <w:sz w:val="20"/>
        </w:rPr>
        <w:t>Hinduism</w:t>
      </w:r>
    </w:p>
    <w:p w:rsidR="009508D9" w:rsidRDefault="009508D9" w:rsidP="00B42E6C">
      <w:pPr>
        <w:jc w:val="both"/>
        <w:rPr>
          <w:b/>
          <w:sz w:val="20"/>
        </w:rPr>
      </w:pPr>
    </w:p>
    <w:p w:rsidR="003D58C5" w:rsidRDefault="00EC71C3" w:rsidP="00B42E6C">
      <w:pPr>
        <w:jc w:val="both"/>
        <w:rPr>
          <w:sz w:val="20"/>
        </w:rPr>
      </w:pPr>
      <w:r>
        <w:rPr>
          <w:sz w:val="20"/>
        </w:rPr>
        <w:t>It is important that jewellery, sacred threads and other religious objects are not removed from the body. The body should then be covered with a plain sheet without any religious markings</w:t>
      </w:r>
      <w:proofErr w:type="gramStart"/>
      <w:r>
        <w:rPr>
          <w:sz w:val="20"/>
        </w:rPr>
        <w:t>.</w:t>
      </w:r>
      <w:r w:rsidR="00F64DD8">
        <w:rPr>
          <w:sz w:val="20"/>
        </w:rPr>
        <w:t>.</w:t>
      </w:r>
      <w:proofErr w:type="gramEnd"/>
      <w:r w:rsidR="00F64DD8">
        <w:rPr>
          <w:sz w:val="20"/>
        </w:rPr>
        <w:t xml:space="preserve"> </w:t>
      </w:r>
      <w:r>
        <w:rPr>
          <w:sz w:val="20"/>
        </w:rPr>
        <w:t xml:space="preserve">The body should not be washed as this forms </w:t>
      </w:r>
      <w:r w:rsidR="00F64DD8">
        <w:rPr>
          <w:sz w:val="20"/>
        </w:rPr>
        <w:t xml:space="preserve">part of the funeral </w:t>
      </w:r>
      <w:r w:rsidR="00F64DD8" w:rsidRPr="00F41536">
        <w:rPr>
          <w:sz w:val="20"/>
        </w:rPr>
        <w:t>rites</w:t>
      </w:r>
      <w:r w:rsidR="00F64DD8">
        <w:rPr>
          <w:sz w:val="20"/>
        </w:rPr>
        <w:t xml:space="preserve"> carried out by relatives.</w:t>
      </w:r>
    </w:p>
    <w:p w:rsidR="00F64DD8" w:rsidRDefault="00F64DD8" w:rsidP="00B42E6C">
      <w:pPr>
        <w:jc w:val="both"/>
        <w:rPr>
          <w:sz w:val="20"/>
        </w:rPr>
      </w:pPr>
    </w:p>
    <w:p w:rsidR="00531E53" w:rsidRDefault="00F64DD8" w:rsidP="00B42E6C">
      <w:pPr>
        <w:jc w:val="both"/>
        <w:rPr>
          <w:sz w:val="20"/>
        </w:rPr>
      </w:pPr>
      <w:r>
        <w:rPr>
          <w:sz w:val="20"/>
        </w:rPr>
        <w:t xml:space="preserve">Post-mortem examinations are not prohibited </w:t>
      </w:r>
      <w:r w:rsidR="00EC71C3">
        <w:rPr>
          <w:sz w:val="20"/>
        </w:rPr>
        <w:t xml:space="preserve">by </w:t>
      </w:r>
      <w:r>
        <w:rPr>
          <w:sz w:val="20"/>
        </w:rPr>
        <w:t xml:space="preserve">Hindu belief </w:t>
      </w:r>
      <w:proofErr w:type="gramStart"/>
      <w:r>
        <w:rPr>
          <w:sz w:val="20"/>
        </w:rPr>
        <w:t xml:space="preserve">however </w:t>
      </w:r>
      <w:r w:rsidR="00EC71C3">
        <w:rPr>
          <w:sz w:val="20"/>
        </w:rPr>
        <w:t xml:space="preserve"> the</w:t>
      </w:r>
      <w:proofErr w:type="gramEnd"/>
      <w:r>
        <w:rPr>
          <w:sz w:val="20"/>
        </w:rPr>
        <w:t xml:space="preserve"> idea may be </w:t>
      </w:r>
      <w:r w:rsidR="00EC71C3">
        <w:rPr>
          <w:sz w:val="20"/>
        </w:rPr>
        <w:t xml:space="preserve">seen as </w:t>
      </w:r>
      <w:r>
        <w:rPr>
          <w:sz w:val="20"/>
        </w:rPr>
        <w:t>distasteful to some Hindus</w:t>
      </w:r>
      <w:r w:rsidR="00EC71C3">
        <w:rPr>
          <w:sz w:val="20"/>
        </w:rPr>
        <w:t>. This topic must be discussed with the next of kin if a post mortem is required</w:t>
      </w:r>
      <w:r>
        <w:rPr>
          <w:sz w:val="20"/>
        </w:rPr>
        <w:t xml:space="preserve"> </w:t>
      </w:r>
      <w:r w:rsidR="00531E53">
        <w:rPr>
          <w:sz w:val="20"/>
        </w:rPr>
        <w:t>All adult Hindus must be cremated not buried; but infants and young children may be buried, and it is usual for this to be done as soon as possible, preferably the same day.</w:t>
      </w:r>
    </w:p>
    <w:p w:rsidR="00531E53" w:rsidRDefault="00531E53" w:rsidP="00B42E6C">
      <w:pPr>
        <w:jc w:val="both"/>
        <w:rPr>
          <w:sz w:val="20"/>
        </w:rPr>
      </w:pPr>
    </w:p>
    <w:p w:rsidR="00F64DD8" w:rsidRPr="003D58C5" w:rsidRDefault="00531E53" w:rsidP="00B42E6C">
      <w:pPr>
        <w:jc w:val="both"/>
        <w:rPr>
          <w:sz w:val="20"/>
        </w:rPr>
      </w:pPr>
      <w:r>
        <w:rPr>
          <w:sz w:val="20"/>
        </w:rPr>
        <w:t xml:space="preserve">There has been some demand in the UK for a full open air ceremony to be conducted on cremation of </w:t>
      </w:r>
      <w:r w:rsidR="00D22A6F">
        <w:rPr>
          <w:sz w:val="20"/>
        </w:rPr>
        <w:t xml:space="preserve">the deceased </w:t>
      </w:r>
      <w:r>
        <w:rPr>
          <w:sz w:val="20"/>
        </w:rPr>
        <w:t xml:space="preserve">according to ancient Hindu rites. These rites stipulate that the body be cremated by means of a wood-fuelled fire in an open air facility exposed to daylight. At present such practice is illegal in the UK. </w:t>
      </w:r>
    </w:p>
    <w:p w:rsidR="009508D9" w:rsidRDefault="009508D9" w:rsidP="00B42E6C">
      <w:pPr>
        <w:jc w:val="both"/>
        <w:rPr>
          <w:b/>
          <w:sz w:val="20"/>
        </w:rPr>
      </w:pPr>
      <w:r>
        <w:rPr>
          <w:b/>
          <w:sz w:val="20"/>
        </w:rPr>
        <w:lastRenderedPageBreak/>
        <w:t xml:space="preserve">6.4 </w:t>
      </w:r>
      <w:r>
        <w:rPr>
          <w:b/>
          <w:sz w:val="20"/>
        </w:rPr>
        <w:tab/>
      </w:r>
      <w:r w:rsidR="006A6DA2">
        <w:rPr>
          <w:b/>
          <w:sz w:val="20"/>
        </w:rPr>
        <w:t>Islam</w:t>
      </w:r>
    </w:p>
    <w:p w:rsidR="008F221F" w:rsidRDefault="008F221F" w:rsidP="00B42E6C">
      <w:pPr>
        <w:jc w:val="both"/>
        <w:rPr>
          <w:b/>
          <w:sz w:val="20"/>
        </w:rPr>
      </w:pPr>
    </w:p>
    <w:p w:rsidR="008F221F" w:rsidRDefault="008F221F" w:rsidP="00B42E6C">
      <w:pPr>
        <w:jc w:val="both"/>
        <w:rPr>
          <w:sz w:val="20"/>
        </w:rPr>
      </w:pPr>
      <w:r>
        <w:rPr>
          <w:sz w:val="20"/>
        </w:rPr>
        <w:t xml:space="preserve">Upon death, those with the deceased are encouraged to remain calm, pray for the departed, and begin preparations for </w:t>
      </w:r>
      <w:r w:rsidR="00981304">
        <w:rPr>
          <w:sz w:val="20"/>
        </w:rPr>
        <w:t>burial</w:t>
      </w:r>
      <w:r>
        <w:rPr>
          <w:sz w:val="20"/>
        </w:rPr>
        <w:t xml:space="preserve">. The eyes of the deceased are closed and the body covered temporarily with a clean sheet. It is forbidden for those in </w:t>
      </w:r>
      <w:r w:rsidR="00981304">
        <w:rPr>
          <w:sz w:val="20"/>
        </w:rPr>
        <w:t>mourning</w:t>
      </w:r>
      <w:r>
        <w:rPr>
          <w:sz w:val="20"/>
        </w:rPr>
        <w:t xml:space="preserve"> to excessively wail, scream, or thrash about. In preparation for </w:t>
      </w:r>
      <w:r w:rsidR="00981304">
        <w:rPr>
          <w:sz w:val="20"/>
        </w:rPr>
        <w:t>burial</w:t>
      </w:r>
      <w:r>
        <w:rPr>
          <w:sz w:val="20"/>
        </w:rPr>
        <w:t xml:space="preserve"> the family or other members of the community will wash and shroud the body. Muslims strive to bury the deceased as soon as possible after death avoiding the need for embalming or otherwise disturbing the body of the deceased. A</w:t>
      </w:r>
      <w:r w:rsidR="00F41536">
        <w:rPr>
          <w:sz w:val="20"/>
        </w:rPr>
        <w:t xml:space="preserve"> post mortem</w:t>
      </w:r>
      <w:r>
        <w:rPr>
          <w:sz w:val="20"/>
        </w:rPr>
        <w:t xml:space="preserve"> may be performed if necessary but should be done with the upmost respect for the dead.</w:t>
      </w:r>
    </w:p>
    <w:p w:rsidR="004616DE" w:rsidRDefault="004616DE" w:rsidP="00B42E6C">
      <w:pPr>
        <w:jc w:val="both"/>
        <w:rPr>
          <w:sz w:val="20"/>
        </w:rPr>
      </w:pPr>
    </w:p>
    <w:p w:rsidR="009508D9" w:rsidRDefault="009508D9" w:rsidP="00B42E6C">
      <w:pPr>
        <w:jc w:val="both"/>
        <w:rPr>
          <w:b/>
          <w:sz w:val="20"/>
        </w:rPr>
      </w:pPr>
      <w:r>
        <w:rPr>
          <w:b/>
          <w:sz w:val="20"/>
        </w:rPr>
        <w:t xml:space="preserve">6.5 </w:t>
      </w:r>
      <w:r>
        <w:rPr>
          <w:b/>
          <w:sz w:val="20"/>
        </w:rPr>
        <w:tab/>
      </w:r>
      <w:r w:rsidR="006A6DA2">
        <w:rPr>
          <w:b/>
          <w:sz w:val="20"/>
        </w:rPr>
        <w:t>Judaism</w:t>
      </w:r>
    </w:p>
    <w:p w:rsidR="008F221F" w:rsidRDefault="008F221F" w:rsidP="00B42E6C">
      <w:pPr>
        <w:jc w:val="both"/>
        <w:rPr>
          <w:b/>
          <w:sz w:val="20"/>
        </w:rPr>
      </w:pPr>
    </w:p>
    <w:p w:rsidR="008F221F" w:rsidRDefault="008F221F" w:rsidP="00B42E6C">
      <w:pPr>
        <w:jc w:val="both"/>
        <w:rPr>
          <w:sz w:val="20"/>
        </w:rPr>
      </w:pPr>
      <w:r>
        <w:rPr>
          <w:sz w:val="20"/>
        </w:rPr>
        <w:t xml:space="preserve">It is usual for a companion to remain with the dying person until death. The dying person should not be touched or moved. It is common for some Jewish communities to have a special group of volunteers, the ‘holy society’ (chevra kaddisha) whose job is to care for the dead. They are responsible for washing the body and preparing for </w:t>
      </w:r>
      <w:r w:rsidR="00981304">
        <w:rPr>
          <w:sz w:val="20"/>
        </w:rPr>
        <w:t>burial</w:t>
      </w:r>
      <w:r>
        <w:rPr>
          <w:sz w:val="20"/>
        </w:rPr>
        <w:t xml:space="preserve"> </w:t>
      </w:r>
      <w:r w:rsidR="00066A7A">
        <w:rPr>
          <w:sz w:val="20"/>
        </w:rPr>
        <w:t>in accordance with Jewish custom.</w:t>
      </w:r>
      <w:r>
        <w:rPr>
          <w:sz w:val="20"/>
        </w:rPr>
        <w:tab/>
      </w:r>
    </w:p>
    <w:p w:rsidR="009508D9" w:rsidRDefault="009508D9" w:rsidP="00B42E6C">
      <w:pPr>
        <w:jc w:val="both"/>
        <w:rPr>
          <w:b/>
          <w:sz w:val="20"/>
        </w:rPr>
      </w:pPr>
    </w:p>
    <w:p w:rsidR="009508D9" w:rsidRDefault="009508D9" w:rsidP="00B42E6C">
      <w:pPr>
        <w:jc w:val="both"/>
        <w:rPr>
          <w:b/>
          <w:sz w:val="20"/>
        </w:rPr>
      </w:pPr>
      <w:r>
        <w:rPr>
          <w:b/>
          <w:sz w:val="20"/>
        </w:rPr>
        <w:t>6.</w:t>
      </w:r>
      <w:r w:rsidR="00066A7A">
        <w:rPr>
          <w:b/>
          <w:sz w:val="20"/>
        </w:rPr>
        <w:t>6</w:t>
      </w:r>
      <w:r>
        <w:rPr>
          <w:b/>
          <w:sz w:val="20"/>
        </w:rPr>
        <w:tab/>
      </w:r>
      <w:r w:rsidR="006A6DA2">
        <w:rPr>
          <w:b/>
          <w:sz w:val="20"/>
        </w:rPr>
        <w:t>Sikhism</w:t>
      </w:r>
    </w:p>
    <w:p w:rsidR="00C5141B" w:rsidRDefault="00C5141B" w:rsidP="00B42E6C">
      <w:pPr>
        <w:jc w:val="both"/>
        <w:rPr>
          <w:b/>
          <w:sz w:val="20"/>
        </w:rPr>
      </w:pPr>
    </w:p>
    <w:p w:rsidR="006A6DA2" w:rsidRPr="00313AC1" w:rsidRDefault="00313AC1" w:rsidP="00B42E6C">
      <w:pPr>
        <w:jc w:val="both"/>
        <w:rPr>
          <w:sz w:val="20"/>
        </w:rPr>
      </w:pPr>
      <w:r w:rsidRPr="00313AC1">
        <w:rPr>
          <w:sz w:val="20"/>
        </w:rPr>
        <w:t xml:space="preserve">Deliberate expressions of grief are discouraged. When a death occurs, </w:t>
      </w:r>
      <w:r>
        <w:rPr>
          <w:sz w:val="20"/>
        </w:rPr>
        <w:t>the body is first washed and dressed in clean clothes, complete with the Five K’s (in case of initiated Sikh’s)</w:t>
      </w:r>
      <w:r w:rsidR="007C125F">
        <w:rPr>
          <w:sz w:val="20"/>
        </w:rPr>
        <w:t xml:space="preserve">. </w:t>
      </w:r>
      <w:r w:rsidR="00981304">
        <w:rPr>
          <w:sz w:val="20"/>
        </w:rPr>
        <w:t>If</w:t>
      </w:r>
      <w:r w:rsidR="007C125F">
        <w:rPr>
          <w:sz w:val="20"/>
        </w:rPr>
        <w:t xml:space="preserve"> the death occurs in a hospital, the body is taken home for the final view of the relatives and friends before cremation.</w:t>
      </w:r>
    </w:p>
    <w:p w:rsidR="007F2A12" w:rsidRDefault="007F2A12" w:rsidP="00B42E6C">
      <w:pPr>
        <w:jc w:val="both"/>
        <w:rPr>
          <w:sz w:val="20"/>
        </w:rPr>
      </w:pPr>
    </w:p>
    <w:p w:rsidR="00206E33" w:rsidRDefault="00202A53" w:rsidP="00B42E6C">
      <w:pPr>
        <w:jc w:val="both"/>
        <w:rPr>
          <w:b/>
          <w:sz w:val="20"/>
        </w:rPr>
      </w:pPr>
      <w:r>
        <w:rPr>
          <w:b/>
          <w:sz w:val="20"/>
        </w:rPr>
        <w:t>7</w:t>
      </w:r>
      <w:r w:rsidR="004C15FD" w:rsidRPr="004C15FD">
        <w:rPr>
          <w:b/>
          <w:sz w:val="20"/>
        </w:rPr>
        <w:t xml:space="preserve"> </w:t>
      </w:r>
      <w:r w:rsidR="004C15FD">
        <w:rPr>
          <w:b/>
          <w:sz w:val="20"/>
        </w:rPr>
        <w:tab/>
      </w:r>
      <w:r w:rsidR="00206E33">
        <w:rPr>
          <w:b/>
          <w:sz w:val="20"/>
        </w:rPr>
        <w:t xml:space="preserve">Repatriation </w:t>
      </w:r>
    </w:p>
    <w:p w:rsidR="00206E33" w:rsidRDefault="00206E33" w:rsidP="00B42E6C">
      <w:pPr>
        <w:jc w:val="both"/>
        <w:rPr>
          <w:b/>
          <w:sz w:val="20"/>
        </w:rPr>
      </w:pPr>
    </w:p>
    <w:p w:rsidR="0052524D" w:rsidRDefault="0052524D" w:rsidP="00B42E6C">
      <w:pPr>
        <w:jc w:val="both"/>
        <w:rPr>
          <w:sz w:val="20"/>
        </w:rPr>
      </w:pPr>
      <w:r w:rsidRPr="00A17DD6">
        <w:rPr>
          <w:sz w:val="20"/>
        </w:rPr>
        <w:t xml:space="preserve">Should the need for repatriation of </w:t>
      </w:r>
      <w:r w:rsidR="00A17DD6" w:rsidRPr="00A17DD6">
        <w:rPr>
          <w:sz w:val="20"/>
        </w:rPr>
        <w:t>the</w:t>
      </w:r>
      <w:r w:rsidRPr="00A17DD6">
        <w:rPr>
          <w:sz w:val="20"/>
        </w:rPr>
        <w:t xml:space="preserve"> deceased </w:t>
      </w:r>
      <w:r w:rsidR="00A17DD6" w:rsidRPr="00A17DD6">
        <w:rPr>
          <w:sz w:val="20"/>
        </w:rPr>
        <w:t xml:space="preserve">be a requirement, the Trust will work closely with the family </w:t>
      </w:r>
      <w:r w:rsidR="00981304">
        <w:rPr>
          <w:sz w:val="20"/>
        </w:rPr>
        <w:t xml:space="preserve">of the deceased </w:t>
      </w:r>
      <w:r w:rsidR="00A17DD6" w:rsidRPr="00A17DD6">
        <w:rPr>
          <w:sz w:val="20"/>
        </w:rPr>
        <w:t xml:space="preserve">and </w:t>
      </w:r>
      <w:r w:rsidR="00981304">
        <w:rPr>
          <w:sz w:val="20"/>
        </w:rPr>
        <w:t>the Bereavement Service</w:t>
      </w:r>
      <w:r w:rsidR="00A17DD6">
        <w:rPr>
          <w:sz w:val="20"/>
        </w:rPr>
        <w:t xml:space="preserve">, to support the repatriation process as appropriate. </w:t>
      </w:r>
    </w:p>
    <w:p w:rsidR="00D22A6F" w:rsidRDefault="00D22A6F" w:rsidP="00B42E6C">
      <w:pPr>
        <w:jc w:val="both"/>
        <w:rPr>
          <w:sz w:val="20"/>
        </w:rPr>
      </w:pPr>
    </w:p>
    <w:p w:rsidR="00D22A6F" w:rsidRDefault="00D22A6F" w:rsidP="00B42E6C">
      <w:pPr>
        <w:jc w:val="both"/>
        <w:rPr>
          <w:sz w:val="20"/>
        </w:rPr>
      </w:pPr>
      <w:r>
        <w:rPr>
          <w:sz w:val="20"/>
        </w:rPr>
        <w:t xml:space="preserve">Should repatriation of the deceased be required, the Trust will work closely with the next of kin and the Trust’s Bereavement Service, to support the repatriation process as appropriate. </w:t>
      </w:r>
    </w:p>
    <w:p w:rsidR="00D22A6F" w:rsidRDefault="00D22A6F" w:rsidP="00B42E6C">
      <w:pPr>
        <w:jc w:val="both"/>
        <w:rPr>
          <w:sz w:val="20"/>
        </w:rPr>
      </w:pPr>
    </w:p>
    <w:p w:rsidR="00981304" w:rsidRPr="00981304" w:rsidRDefault="00D22A6F" w:rsidP="00981304">
      <w:pPr>
        <w:rPr>
          <w:sz w:val="20"/>
        </w:rPr>
      </w:pPr>
      <w:r>
        <w:rPr>
          <w:sz w:val="20"/>
        </w:rPr>
        <w:t xml:space="preserve">If repatriation is delayed for any reason </w:t>
      </w:r>
      <w:r w:rsidR="00981304" w:rsidRPr="00981304">
        <w:rPr>
          <w:sz w:val="20"/>
        </w:rPr>
        <w:t>e.g. a worldwide pandemic, loss of transport</w:t>
      </w:r>
      <w:r>
        <w:rPr>
          <w:sz w:val="20"/>
        </w:rPr>
        <w:t>,</w:t>
      </w:r>
      <w:r w:rsidR="00981304" w:rsidRPr="00981304">
        <w:rPr>
          <w:sz w:val="20"/>
        </w:rPr>
        <w:t xml:space="preserve"> then the Trust would work </w:t>
      </w:r>
      <w:r>
        <w:rPr>
          <w:sz w:val="20"/>
        </w:rPr>
        <w:t xml:space="preserve">in conjunction </w:t>
      </w:r>
      <w:r w:rsidR="004616DE">
        <w:rPr>
          <w:sz w:val="20"/>
        </w:rPr>
        <w:t xml:space="preserve">with </w:t>
      </w:r>
      <w:r w:rsidR="004616DE" w:rsidRPr="00981304">
        <w:rPr>
          <w:sz w:val="20"/>
        </w:rPr>
        <w:t>the</w:t>
      </w:r>
      <w:r w:rsidR="00981304" w:rsidRPr="00981304">
        <w:rPr>
          <w:sz w:val="20"/>
        </w:rPr>
        <w:t xml:space="preserve"> Mortuary and Bereavement Service to </w:t>
      </w:r>
      <w:r>
        <w:rPr>
          <w:sz w:val="20"/>
        </w:rPr>
        <w:t xml:space="preserve">scope </w:t>
      </w:r>
      <w:r w:rsidR="00981304" w:rsidRPr="00981304">
        <w:rPr>
          <w:sz w:val="20"/>
        </w:rPr>
        <w:t>longer term storage options.</w:t>
      </w:r>
    </w:p>
    <w:p w:rsidR="00206E33" w:rsidRPr="00981304" w:rsidRDefault="00206E33" w:rsidP="00981304">
      <w:pPr>
        <w:jc w:val="both"/>
        <w:rPr>
          <w:sz w:val="20"/>
        </w:rPr>
      </w:pPr>
    </w:p>
    <w:p w:rsidR="00206E33" w:rsidRDefault="00206E33" w:rsidP="00B42E6C">
      <w:pPr>
        <w:jc w:val="both"/>
        <w:rPr>
          <w:b/>
          <w:sz w:val="20"/>
        </w:rPr>
      </w:pPr>
    </w:p>
    <w:p w:rsidR="00206E33" w:rsidRDefault="00206E33" w:rsidP="00B42E6C">
      <w:pPr>
        <w:jc w:val="both"/>
        <w:rPr>
          <w:b/>
          <w:sz w:val="20"/>
        </w:rPr>
      </w:pPr>
    </w:p>
    <w:p w:rsidR="004C15FD" w:rsidRPr="004B420B" w:rsidRDefault="004C15FD" w:rsidP="0052524D">
      <w:pPr>
        <w:jc w:val="both"/>
        <w:rPr>
          <w:sz w:val="20"/>
        </w:rPr>
      </w:pPr>
    </w:p>
    <w:p w:rsidR="002F2A29" w:rsidRDefault="002F2A29" w:rsidP="00B42E6C">
      <w:pPr>
        <w:jc w:val="both"/>
        <w:rPr>
          <w:b/>
          <w:sz w:val="20"/>
        </w:rPr>
      </w:pPr>
    </w:p>
    <w:p w:rsidR="004B420B" w:rsidRPr="004C15FD" w:rsidRDefault="004B420B" w:rsidP="00B42E6C">
      <w:pPr>
        <w:jc w:val="both"/>
        <w:rPr>
          <w:b/>
          <w:sz w:val="20"/>
        </w:rPr>
      </w:pPr>
    </w:p>
    <w:sectPr w:rsidR="004B420B" w:rsidRPr="004C15FD">
      <w:headerReference w:type="default" r:id="rId10"/>
      <w:footerReference w:type="default" r:id="rId1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au" w:date="2020-04-24T13:28:00Z" w:initials="a">
    <w:p w:rsidR="00C5141B" w:rsidRDefault="00C5141B">
      <w:pPr>
        <w:pStyle w:val="CommentText"/>
      </w:pPr>
      <w:r>
        <w:rPr>
          <w:rStyle w:val="CommentReference"/>
        </w:rPr>
        <w:annotationRef/>
      </w:r>
      <w:r>
        <w:t>This is not mentioned in our policy</w:t>
      </w:r>
      <w:r w:rsidR="00981304">
        <w:t xml:space="preserve"> and I am not sure if this should be the correct procedure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C18" w:rsidRDefault="00243C18" w:rsidP="00A02675">
      <w:r>
        <w:separator/>
      </w:r>
    </w:p>
  </w:endnote>
  <w:endnote w:type="continuationSeparator" w:id="0">
    <w:p w:rsidR="00243C18" w:rsidRDefault="00243C18" w:rsidP="00A02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B11" w:rsidRPr="00A35B11" w:rsidRDefault="00A35B11">
    <w:pPr>
      <w:pStyle w:val="Footer"/>
      <w:rPr>
        <w:sz w:val="20"/>
      </w:rPr>
    </w:pPr>
    <w:r w:rsidRPr="00A35B11">
      <w:rPr>
        <w:sz w:val="20"/>
      </w:rPr>
      <w:t xml:space="preserve">SOP </w:t>
    </w:r>
    <w:r w:rsidR="00981304">
      <w:rPr>
        <w:sz w:val="20"/>
      </w:rPr>
      <w:t xml:space="preserve">Managing the death of an </w:t>
    </w:r>
    <w:r w:rsidR="0000009B">
      <w:rPr>
        <w:sz w:val="20"/>
      </w:rPr>
      <w:t>Overseas Employees</w:t>
    </w:r>
    <w:r w:rsidRPr="00A35B11">
      <w:rPr>
        <w:sz w:val="20"/>
      </w:rPr>
      <w:t xml:space="preserve">/Version </w:t>
    </w:r>
    <w:r w:rsidR="00013B01">
      <w:rPr>
        <w:sz w:val="20"/>
      </w:rPr>
      <w:t>1</w:t>
    </w:r>
    <w:r w:rsidR="00BA7DC1">
      <w:rPr>
        <w:sz w:val="20"/>
      </w:rPr>
      <w:t>/</w:t>
    </w:r>
    <w:r w:rsidR="0000009B">
      <w:rPr>
        <w:sz w:val="20"/>
      </w:rPr>
      <w:t>April</w:t>
    </w:r>
    <w:r w:rsidR="00013B01">
      <w:rPr>
        <w:sz w:val="20"/>
      </w:rPr>
      <w:t xml:space="preserve"> 2020</w:t>
    </w:r>
  </w:p>
  <w:p w:rsidR="00DC7905" w:rsidRPr="00A35B11" w:rsidRDefault="00DC7905" w:rsidP="00DC7905">
    <w:pPr>
      <w:pStyle w:val="Footer"/>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C18" w:rsidRDefault="00243C18" w:rsidP="00A02675">
      <w:r>
        <w:separator/>
      </w:r>
    </w:p>
  </w:footnote>
  <w:footnote w:type="continuationSeparator" w:id="0">
    <w:p w:rsidR="00243C18" w:rsidRDefault="00243C18" w:rsidP="00A026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675" w:rsidRDefault="00A02675" w:rsidP="00A02675">
    <w:pPr>
      <w:pStyle w:val="Header"/>
      <w:jc w:val="right"/>
    </w:pPr>
    <w:r>
      <w:rPr>
        <w:noProof/>
      </w:rPr>
      <w:drawing>
        <wp:inline distT="0" distB="0" distL="0" distR="0" wp14:anchorId="26F187F2" wp14:editId="1AF92024">
          <wp:extent cx="1033780" cy="572770"/>
          <wp:effectExtent l="0" t="0" r="0" b="0"/>
          <wp:docPr id="1" name="Picture 1" descr="http://intranet/website/staff/formstemplates/branding2018/logoblue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website/staff/formstemplates/branding2018/logobluedocument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780" cy="5727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A1EA2"/>
    <w:multiLevelType w:val="hybridMultilevel"/>
    <w:tmpl w:val="D0C6E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845D73"/>
    <w:multiLevelType w:val="hybridMultilevel"/>
    <w:tmpl w:val="BA9C73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8372BBE"/>
    <w:multiLevelType w:val="hybridMultilevel"/>
    <w:tmpl w:val="A1AA69B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C2206A"/>
    <w:multiLevelType w:val="hybridMultilevel"/>
    <w:tmpl w:val="7B5019F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23215A5C"/>
    <w:multiLevelType w:val="hybridMultilevel"/>
    <w:tmpl w:val="F86AB1FE"/>
    <w:lvl w:ilvl="0" w:tplc="8C5663D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AF0281"/>
    <w:multiLevelType w:val="hybridMultilevel"/>
    <w:tmpl w:val="598CE66E"/>
    <w:lvl w:ilvl="0" w:tplc="08090003">
      <w:start w:val="1"/>
      <w:numFmt w:val="bullet"/>
      <w:lvlText w:val="o"/>
      <w:lvlJc w:val="left"/>
      <w:pPr>
        <w:ind w:left="3011" w:hanging="360"/>
      </w:pPr>
      <w:rPr>
        <w:rFonts w:ascii="Courier New" w:hAnsi="Courier New" w:cs="Courier New" w:hint="default"/>
      </w:rPr>
    </w:lvl>
    <w:lvl w:ilvl="1" w:tplc="08090003" w:tentative="1">
      <w:start w:val="1"/>
      <w:numFmt w:val="bullet"/>
      <w:lvlText w:val="o"/>
      <w:lvlJc w:val="left"/>
      <w:pPr>
        <w:ind w:left="3731" w:hanging="360"/>
      </w:pPr>
      <w:rPr>
        <w:rFonts w:ascii="Courier New" w:hAnsi="Courier New" w:cs="Courier New" w:hint="default"/>
      </w:rPr>
    </w:lvl>
    <w:lvl w:ilvl="2" w:tplc="08090005" w:tentative="1">
      <w:start w:val="1"/>
      <w:numFmt w:val="bullet"/>
      <w:lvlText w:val=""/>
      <w:lvlJc w:val="left"/>
      <w:pPr>
        <w:ind w:left="4451" w:hanging="360"/>
      </w:pPr>
      <w:rPr>
        <w:rFonts w:ascii="Wingdings" w:hAnsi="Wingdings" w:hint="default"/>
      </w:rPr>
    </w:lvl>
    <w:lvl w:ilvl="3" w:tplc="08090001" w:tentative="1">
      <w:start w:val="1"/>
      <w:numFmt w:val="bullet"/>
      <w:lvlText w:val=""/>
      <w:lvlJc w:val="left"/>
      <w:pPr>
        <w:ind w:left="5171" w:hanging="360"/>
      </w:pPr>
      <w:rPr>
        <w:rFonts w:ascii="Symbol" w:hAnsi="Symbol" w:hint="default"/>
      </w:rPr>
    </w:lvl>
    <w:lvl w:ilvl="4" w:tplc="08090003" w:tentative="1">
      <w:start w:val="1"/>
      <w:numFmt w:val="bullet"/>
      <w:lvlText w:val="o"/>
      <w:lvlJc w:val="left"/>
      <w:pPr>
        <w:ind w:left="5891" w:hanging="360"/>
      </w:pPr>
      <w:rPr>
        <w:rFonts w:ascii="Courier New" w:hAnsi="Courier New" w:cs="Courier New" w:hint="default"/>
      </w:rPr>
    </w:lvl>
    <w:lvl w:ilvl="5" w:tplc="08090005" w:tentative="1">
      <w:start w:val="1"/>
      <w:numFmt w:val="bullet"/>
      <w:lvlText w:val=""/>
      <w:lvlJc w:val="left"/>
      <w:pPr>
        <w:ind w:left="6611" w:hanging="360"/>
      </w:pPr>
      <w:rPr>
        <w:rFonts w:ascii="Wingdings" w:hAnsi="Wingdings" w:hint="default"/>
      </w:rPr>
    </w:lvl>
    <w:lvl w:ilvl="6" w:tplc="08090001" w:tentative="1">
      <w:start w:val="1"/>
      <w:numFmt w:val="bullet"/>
      <w:lvlText w:val=""/>
      <w:lvlJc w:val="left"/>
      <w:pPr>
        <w:ind w:left="7331" w:hanging="360"/>
      </w:pPr>
      <w:rPr>
        <w:rFonts w:ascii="Symbol" w:hAnsi="Symbol" w:hint="default"/>
      </w:rPr>
    </w:lvl>
    <w:lvl w:ilvl="7" w:tplc="08090003" w:tentative="1">
      <w:start w:val="1"/>
      <w:numFmt w:val="bullet"/>
      <w:lvlText w:val="o"/>
      <w:lvlJc w:val="left"/>
      <w:pPr>
        <w:ind w:left="8051" w:hanging="360"/>
      </w:pPr>
      <w:rPr>
        <w:rFonts w:ascii="Courier New" w:hAnsi="Courier New" w:cs="Courier New" w:hint="default"/>
      </w:rPr>
    </w:lvl>
    <w:lvl w:ilvl="8" w:tplc="08090005" w:tentative="1">
      <w:start w:val="1"/>
      <w:numFmt w:val="bullet"/>
      <w:lvlText w:val=""/>
      <w:lvlJc w:val="left"/>
      <w:pPr>
        <w:ind w:left="8771" w:hanging="360"/>
      </w:pPr>
      <w:rPr>
        <w:rFonts w:ascii="Wingdings" w:hAnsi="Wingdings" w:hint="default"/>
      </w:rPr>
    </w:lvl>
  </w:abstractNum>
  <w:abstractNum w:abstractNumId="6">
    <w:nsid w:val="2A9D7725"/>
    <w:multiLevelType w:val="hybridMultilevel"/>
    <w:tmpl w:val="3912D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9F6DB9"/>
    <w:multiLevelType w:val="hybridMultilevel"/>
    <w:tmpl w:val="2C60B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2F64CE"/>
    <w:multiLevelType w:val="hybridMultilevel"/>
    <w:tmpl w:val="EA5EA7D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nsid w:val="388749EF"/>
    <w:multiLevelType w:val="hybridMultilevel"/>
    <w:tmpl w:val="45FE8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383CCC"/>
    <w:multiLevelType w:val="hybridMultilevel"/>
    <w:tmpl w:val="45D0BB96"/>
    <w:lvl w:ilvl="0" w:tplc="08090001">
      <w:start w:val="1"/>
      <w:numFmt w:val="bullet"/>
      <w:lvlText w:val=""/>
      <w:lvlJc w:val="left"/>
      <w:pPr>
        <w:ind w:left="1496" w:hanging="360"/>
      </w:pPr>
      <w:rPr>
        <w:rFonts w:ascii="Symbol" w:hAnsi="Symbol"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11">
    <w:nsid w:val="3BE15CFE"/>
    <w:multiLevelType w:val="hybridMultilevel"/>
    <w:tmpl w:val="A2F07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170D4B"/>
    <w:multiLevelType w:val="hybridMultilevel"/>
    <w:tmpl w:val="2C2AB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994CF6"/>
    <w:multiLevelType w:val="hybridMultilevel"/>
    <w:tmpl w:val="8C761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767026"/>
    <w:multiLevelType w:val="hybridMultilevel"/>
    <w:tmpl w:val="692C4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BC7694"/>
    <w:multiLevelType w:val="hybridMultilevel"/>
    <w:tmpl w:val="C0ECC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E10E87"/>
    <w:multiLevelType w:val="hybridMultilevel"/>
    <w:tmpl w:val="FA66B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DC01717"/>
    <w:multiLevelType w:val="hybridMultilevel"/>
    <w:tmpl w:val="7152D9D6"/>
    <w:lvl w:ilvl="0" w:tplc="61C65B0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1666E57"/>
    <w:multiLevelType w:val="hybridMultilevel"/>
    <w:tmpl w:val="4886A0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3CD1575"/>
    <w:multiLevelType w:val="hybridMultilevel"/>
    <w:tmpl w:val="E28461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6914BFB"/>
    <w:multiLevelType w:val="hybridMultilevel"/>
    <w:tmpl w:val="2DF43C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320A34"/>
    <w:multiLevelType w:val="hybridMultilevel"/>
    <w:tmpl w:val="39B67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75626D0"/>
    <w:multiLevelType w:val="hybridMultilevel"/>
    <w:tmpl w:val="2234AC30"/>
    <w:lvl w:ilvl="0" w:tplc="2094318A">
      <w:start w:val="1"/>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8BA0557"/>
    <w:multiLevelType w:val="hybridMultilevel"/>
    <w:tmpl w:val="8D546DB2"/>
    <w:lvl w:ilvl="0" w:tplc="4360499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B6128F8"/>
    <w:multiLevelType w:val="hybridMultilevel"/>
    <w:tmpl w:val="FB72FDDE"/>
    <w:lvl w:ilvl="0" w:tplc="FBDCEF4C">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FBA11B9"/>
    <w:multiLevelType w:val="hybridMultilevel"/>
    <w:tmpl w:val="4B02E6A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nsid w:val="707340B2"/>
    <w:multiLevelType w:val="hybridMultilevel"/>
    <w:tmpl w:val="494C6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55A4E9A"/>
    <w:multiLevelType w:val="hybridMultilevel"/>
    <w:tmpl w:val="0E4E3A9A"/>
    <w:lvl w:ilvl="0" w:tplc="950A43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811772F"/>
    <w:multiLevelType w:val="multilevel"/>
    <w:tmpl w:val="4762F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5D2335"/>
    <w:multiLevelType w:val="hybridMultilevel"/>
    <w:tmpl w:val="E318D3F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nsid w:val="7FAF3684"/>
    <w:multiLevelType w:val="hybridMultilevel"/>
    <w:tmpl w:val="B03EC55C"/>
    <w:lvl w:ilvl="0" w:tplc="EDD8072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22"/>
  </w:num>
  <w:num w:numId="3">
    <w:abstractNumId w:val="28"/>
  </w:num>
  <w:num w:numId="4">
    <w:abstractNumId w:val="5"/>
  </w:num>
  <w:num w:numId="5">
    <w:abstractNumId w:val="11"/>
  </w:num>
  <w:num w:numId="6">
    <w:abstractNumId w:val="21"/>
  </w:num>
  <w:num w:numId="7">
    <w:abstractNumId w:val="20"/>
  </w:num>
  <w:num w:numId="8">
    <w:abstractNumId w:val="2"/>
  </w:num>
  <w:num w:numId="9">
    <w:abstractNumId w:val="18"/>
  </w:num>
  <w:num w:numId="10">
    <w:abstractNumId w:val="29"/>
  </w:num>
  <w:num w:numId="11">
    <w:abstractNumId w:val="12"/>
  </w:num>
  <w:num w:numId="12">
    <w:abstractNumId w:val="30"/>
  </w:num>
  <w:num w:numId="13">
    <w:abstractNumId w:val="13"/>
  </w:num>
  <w:num w:numId="14">
    <w:abstractNumId w:val="6"/>
  </w:num>
  <w:num w:numId="15">
    <w:abstractNumId w:val="26"/>
  </w:num>
  <w:num w:numId="16">
    <w:abstractNumId w:val="7"/>
  </w:num>
  <w:num w:numId="17">
    <w:abstractNumId w:val="9"/>
  </w:num>
  <w:num w:numId="18">
    <w:abstractNumId w:val="1"/>
  </w:num>
  <w:num w:numId="19">
    <w:abstractNumId w:val="16"/>
  </w:num>
  <w:num w:numId="20">
    <w:abstractNumId w:val="8"/>
  </w:num>
  <w:num w:numId="21">
    <w:abstractNumId w:val="3"/>
  </w:num>
  <w:num w:numId="22">
    <w:abstractNumId w:val="25"/>
  </w:num>
  <w:num w:numId="23">
    <w:abstractNumId w:val="14"/>
  </w:num>
  <w:num w:numId="24">
    <w:abstractNumId w:val="0"/>
  </w:num>
  <w:num w:numId="25">
    <w:abstractNumId w:val="15"/>
  </w:num>
  <w:num w:numId="26">
    <w:abstractNumId w:val="10"/>
  </w:num>
  <w:num w:numId="27">
    <w:abstractNumId w:val="4"/>
  </w:num>
  <w:num w:numId="28">
    <w:abstractNumId w:val="23"/>
  </w:num>
  <w:num w:numId="29">
    <w:abstractNumId w:val="24"/>
  </w:num>
  <w:num w:numId="30">
    <w:abstractNumId w:val="27"/>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675"/>
    <w:rsid w:val="0000009B"/>
    <w:rsid w:val="00006E35"/>
    <w:rsid w:val="00012880"/>
    <w:rsid w:val="00013B01"/>
    <w:rsid w:val="00042BC5"/>
    <w:rsid w:val="0004316E"/>
    <w:rsid w:val="00066A7A"/>
    <w:rsid w:val="000D01F2"/>
    <w:rsid w:val="000D0FBE"/>
    <w:rsid w:val="000E45AB"/>
    <w:rsid w:val="00102AB5"/>
    <w:rsid w:val="00117768"/>
    <w:rsid w:val="001606C4"/>
    <w:rsid w:val="00161D9C"/>
    <w:rsid w:val="001921A8"/>
    <w:rsid w:val="001926AC"/>
    <w:rsid w:val="001E7C23"/>
    <w:rsid w:val="00202A53"/>
    <w:rsid w:val="00206E33"/>
    <w:rsid w:val="00221337"/>
    <w:rsid w:val="00221BD5"/>
    <w:rsid w:val="0022382D"/>
    <w:rsid w:val="002358E8"/>
    <w:rsid w:val="002414A8"/>
    <w:rsid w:val="00243C18"/>
    <w:rsid w:val="00251FD4"/>
    <w:rsid w:val="00266B1E"/>
    <w:rsid w:val="002D5F98"/>
    <w:rsid w:val="002D6153"/>
    <w:rsid w:val="002F2A29"/>
    <w:rsid w:val="002F6FE5"/>
    <w:rsid w:val="00313AC1"/>
    <w:rsid w:val="0032130B"/>
    <w:rsid w:val="0033655E"/>
    <w:rsid w:val="003668FF"/>
    <w:rsid w:val="00367B35"/>
    <w:rsid w:val="00374CB5"/>
    <w:rsid w:val="003A638C"/>
    <w:rsid w:val="003A7D0D"/>
    <w:rsid w:val="003C0B25"/>
    <w:rsid w:val="003D58C5"/>
    <w:rsid w:val="003E3EB7"/>
    <w:rsid w:val="003E5506"/>
    <w:rsid w:val="003F4BF6"/>
    <w:rsid w:val="00414222"/>
    <w:rsid w:val="0042216E"/>
    <w:rsid w:val="0042550A"/>
    <w:rsid w:val="004616DE"/>
    <w:rsid w:val="0046459C"/>
    <w:rsid w:val="004A466E"/>
    <w:rsid w:val="004B420B"/>
    <w:rsid w:val="004B6DD2"/>
    <w:rsid w:val="004C15FD"/>
    <w:rsid w:val="004F5621"/>
    <w:rsid w:val="00510405"/>
    <w:rsid w:val="00520316"/>
    <w:rsid w:val="005220E8"/>
    <w:rsid w:val="0052524D"/>
    <w:rsid w:val="00530190"/>
    <w:rsid w:val="00531E53"/>
    <w:rsid w:val="005445C3"/>
    <w:rsid w:val="00552F44"/>
    <w:rsid w:val="00567DF0"/>
    <w:rsid w:val="00576E27"/>
    <w:rsid w:val="005848FE"/>
    <w:rsid w:val="00585622"/>
    <w:rsid w:val="005A06A5"/>
    <w:rsid w:val="005C1650"/>
    <w:rsid w:val="005D02DB"/>
    <w:rsid w:val="005E1E2A"/>
    <w:rsid w:val="005E5FEF"/>
    <w:rsid w:val="005E67F8"/>
    <w:rsid w:val="005F0958"/>
    <w:rsid w:val="00601A3F"/>
    <w:rsid w:val="006114AD"/>
    <w:rsid w:val="006128F2"/>
    <w:rsid w:val="00625DDA"/>
    <w:rsid w:val="00637E81"/>
    <w:rsid w:val="00643438"/>
    <w:rsid w:val="00665EC7"/>
    <w:rsid w:val="006858F3"/>
    <w:rsid w:val="006A1DF4"/>
    <w:rsid w:val="006A6DA2"/>
    <w:rsid w:val="006A7AD2"/>
    <w:rsid w:val="006B3E41"/>
    <w:rsid w:val="006C4B78"/>
    <w:rsid w:val="006F6C08"/>
    <w:rsid w:val="007133B2"/>
    <w:rsid w:val="007200B4"/>
    <w:rsid w:val="00745C1C"/>
    <w:rsid w:val="00752CC1"/>
    <w:rsid w:val="007938FD"/>
    <w:rsid w:val="007953B0"/>
    <w:rsid w:val="007C125F"/>
    <w:rsid w:val="007C3433"/>
    <w:rsid w:val="007F2A12"/>
    <w:rsid w:val="008065D2"/>
    <w:rsid w:val="00853EE9"/>
    <w:rsid w:val="00865483"/>
    <w:rsid w:val="00882DE0"/>
    <w:rsid w:val="00887FA7"/>
    <w:rsid w:val="0089790F"/>
    <w:rsid w:val="00897ED6"/>
    <w:rsid w:val="008B6FBB"/>
    <w:rsid w:val="008C665C"/>
    <w:rsid w:val="008D778F"/>
    <w:rsid w:val="008E140E"/>
    <w:rsid w:val="008F221F"/>
    <w:rsid w:val="00904455"/>
    <w:rsid w:val="00913694"/>
    <w:rsid w:val="00916D77"/>
    <w:rsid w:val="009508D9"/>
    <w:rsid w:val="0095506E"/>
    <w:rsid w:val="00970A4F"/>
    <w:rsid w:val="00976A8D"/>
    <w:rsid w:val="00981304"/>
    <w:rsid w:val="00993A84"/>
    <w:rsid w:val="009D2102"/>
    <w:rsid w:val="009D7FE6"/>
    <w:rsid w:val="009F12C2"/>
    <w:rsid w:val="00A001CF"/>
    <w:rsid w:val="00A02675"/>
    <w:rsid w:val="00A03A08"/>
    <w:rsid w:val="00A17DD6"/>
    <w:rsid w:val="00A224F0"/>
    <w:rsid w:val="00A23AB1"/>
    <w:rsid w:val="00A35B11"/>
    <w:rsid w:val="00A5323D"/>
    <w:rsid w:val="00A57B6E"/>
    <w:rsid w:val="00A621B1"/>
    <w:rsid w:val="00A976C9"/>
    <w:rsid w:val="00AD1B0F"/>
    <w:rsid w:val="00B02E50"/>
    <w:rsid w:val="00B1465E"/>
    <w:rsid w:val="00B15086"/>
    <w:rsid w:val="00B42E6C"/>
    <w:rsid w:val="00B43739"/>
    <w:rsid w:val="00B43BCD"/>
    <w:rsid w:val="00B6523F"/>
    <w:rsid w:val="00B7028D"/>
    <w:rsid w:val="00B765EF"/>
    <w:rsid w:val="00B8374F"/>
    <w:rsid w:val="00B92143"/>
    <w:rsid w:val="00BA25BE"/>
    <w:rsid w:val="00BA7DC1"/>
    <w:rsid w:val="00BB00BC"/>
    <w:rsid w:val="00BC5D73"/>
    <w:rsid w:val="00BD3B3C"/>
    <w:rsid w:val="00BD5DED"/>
    <w:rsid w:val="00BE2D30"/>
    <w:rsid w:val="00BE6100"/>
    <w:rsid w:val="00C07FF2"/>
    <w:rsid w:val="00C25BB5"/>
    <w:rsid w:val="00C32214"/>
    <w:rsid w:val="00C424E6"/>
    <w:rsid w:val="00C45566"/>
    <w:rsid w:val="00C5141B"/>
    <w:rsid w:val="00C77F09"/>
    <w:rsid w:val="00C87EB2"/>
    <w:rsid w:val="00C95FBC"/>
    <w:rsid w:val="00CB2857"/>
    <w:rsid w:val="00CB3949"/>
    <w:rsid w:val="00CB6C30"/>
    <w:rsid w:val="00CE5465"/>
    <w:rsid w:val="00D07D91"/>
    <w:rsid w:val="00D22A6F"/>
    <w:rsid w:val="00D22E35"/>
    <w:rsid w:val="00D678F4"/>
    <w:rsid w:val="00D80992"/>
    <w:rsid w:val="00D87BBA"/>
    <w:rsid w:val="00DA7403"/>
    <w:rsid w:val="00DC7905"/>
    <w:rsid w:val="00DE3E26"/>
    <w:rsid w:val="00DE7DB0"/>
    <w:rsid w:val="00DF04A1"/>
    <w:rsid w:val="00E27C3D"/>
    <w:rsid w:val="00E91F68"/>
    <w:rsid w:val="00EC71C3"/>
    <w:rsid w:val="00ED63F7"/>
    <w:rsid w:val="00EF44C1"/>
    <w:rsid w:val="00F140C3"/>
    <w:rsid w:val="00F200C1"/>
    <w:rsid w:val="00F2112E"/>
    <w:rsid w:val="00F30FE7"/>
    <w:rsid w:val="00F41536"/>
    <w:rsid w:val="00F4417B"/>
    <w:rsid w:val="00F64DD8"/>
    <w:rsid w:val="00F90D8A"/>
    <w:rsid w:val="00FB0F54"/>
    <w:rsid w:val="00FC4D2B"/>
    <w:rsid w:val="00FC7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675"/>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675"/>
    <w:pPr>
      <w:tabs>
        <w:tab w:val="center" w:pos="4513"/>
        <w:tab w:val="right" w:pos="9026"/>
      </w:tabs>
    </w:pPr>
  </w:style>
  <w:style w:type="character" w:customStyle="1" w:styleId="HeaderChar">
    <w:name w:val="Header Char"/>
    <w:basedOn w:val="DefaultParagraphFont"/>
    <w:link w:val="Header"/>
    <w:uiPriority w:val="99"/>
    <w:rsid w:val="00A02675"/>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A02675"/>
    <w:pPr>
      <w:tabs>
        <w:tab w:val="center" w:pos="4513"/>
        <w:tab w:val="right" w:pos="9026"/>
      </w:tabs>
    </w:pPr>
  </w:style>
  <w:style w:type="character" w:customStyle="1" w:styleId="FooterChar">
    <w:name w:val="Footer Char"/>
    <w:basedOn w:val="DefaultParagraphFont"/>
    <w:link w:val="Footer"/>
    <w:uiPriority w:val="99"/>
    <w:rsid w:val="00A02675"/>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A02675"/>
    <w:rPr>
      <w:rFonts w:ascii="Tahoma" w:hAnsi="Tahoma" w:cs="Tahoma"/>
      <w:sz w:val="16"/>
      <w:szCs w:val="16"/>
    </w:rPr>
  </w:style>
  <w:style w:type="character" w:customStyle="1" w:styleId="BalloonTextChar">
    <w:name w:val="Balloon Text Char"/>
    <w:basedOn w:val="DefaultParagraphFont"/>
    <w:link w:val="BalloonText"/>
    <w:uiPriority w:val="99"/>
    <w:semiHidden/>
    <w:rsid w:val="00A02675"/>
    <w:rPr>
      <w:rFonts w:ascii="Tahoma" w:eastAsia="Times New Roman" w:hAnsi="Tahoma" w:cs="Tahoma"/>
      <w:sz w:val="16"/>
      <w:szCs w:val="16"/>
      <w:lang w:eastAsia="en-GB"/>
    </w:rPr>
  </w:style>
  <w:style w:type="paragraph" w:styleId="ListParagraph">
    <w:name w:val="List Paragraph"/>
    <w:basedOn w:val="Normal"/>
    <w:uiPriority w:val="34"/>
    <w:qFormat/>
    <w:rsid w:val="00A02675"/>
    <w:pPr>
      <w:ind w:left="720"/>
      <w:contextualSpacing/>
    </w:pPr>
  </w:style>
  <w:style w:type="character" w:styleId="Hyperlink">
    <w:name w:val="Hyperlink"/>
    <w:basedOn w:val="DefaultParagraphFont"/>
    <w:uiPriority w:val="99"/>
    <w:unhideWhenUsed/>
    <w:rsid w:val="007200B4"/>
    <w:rPr>
      <w:color w:val="0000FF" w:themeColor="hyperlink"/>
      <w:u w:val="single"/>
    </w:rPr>
  </w:style>
  <w:style w:type="table" w:styleId="TableGrid">
    <w:name w:val="Table Grid"/>
    <w:basedOn w:val="TableNormal"/>
    <w:uiPriority w:val="59"/>
    <w:rsid w:val="00793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43739"/>
    <w:rPr>
      <w:color w:val="800080" w:themeColor="followedHyperlink"/>
      <w:u w:val="single"/>
    </w:rPr>
  </w:style>
  <w:style w:type="character" w:styleId="CommentReference">
    <w:name w:val="annotation reference"/>
    <w:basedOn w:val="DefaultParagraphFont"/>
    <w:uiPriority w:val="99"/>
    <w:semiHidden/>
    <w:unhideWhenUsed/>
    <w:rsid w:val="00C45566"/>
    <w:rPr>
      <w:sz w:val="16"/>
      <w:szCs w:val="16"/>
    </w:rPr>
  </w:style>
  <w:style w:type="paragraph" w:styleId="CommentText">
    <w:name w:val="annotation text"/>
    <w:basedOn w:val="Normal"/>
    <w:link w:val="CommentTextChar"/>
    <w:uiPriority w:val="99"/>
    <w:semiHidden/>
    <w:unhideWhenUsed/>
    <w:rsid w:val="00C45566"/>
    <w:rPr>
      <w:sz w:val="20"/>
    </w:rPr>
  </w:style>
  <w:style w:type="character" w:customStyle="1" w:styleId="CommentTextChar">
    <w:name w:val="Comment Text Char"/>
    <w:basedOn w:val="DefaultParagraphFont"/>
    <w:link w:val="CommentText"/>
    <w:uiPriority w:val="99"/>
    <w:semiHidden/>
    <w:rsid w:val="00C45566"/>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45566"/>
    <w:rPr>
      <w:b/>
      <w:bCs/>
    </w:rPr>
  </w:style>
  <w:style w:type="character" w:customStyle="1" w:styleId="CommentSubjectChar">
    <w:name w:val="Comment Subject Char"/>
    <w:basedOn w:val="CommentTextChar"/>
    <w:link w:val="CommentSubject"/>
    <w:uiPriority w:val="99"/>
    <w:semiHidden/>
    <w:rsid w:val="00C45566"/>
    <w:rPr>
      <w:rFonts w:ascii="Arial" w:eastAsia="Times New Roman" w:hAnsi="Arial"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675"/>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675"/>
    <w:pPr>
      <w:tabs>
        <w:tab w:val="center" w:pos="4513"/>
        <w:tab w:val="right" w:pos="9026"/>
      </w:tabs>
    </w:pPr>
  </w:style>
  <w:style w:type="character" w:customStyle="1" w:styleId="HeaderChar">
    <w:name w:val="Header Char"/>
    <w:basedOn w:val="DefaultParagraphFont"/>
    <w:link w:val="Header"/>
    <w:uiPriority w:val="99"/>
    <w:rsid w:val="00A02675"/>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A02675"/>
    <w:pPr>
      <w:tabs>
        <w:tab w:val="center" w:pos="4513"/>
        <w:tab w:val="right" w:pos="9026"/>
      </w:tabs>
    </w:pPr>
  </w:style>
  <w:style w:type="character" w:customStyle="1" w:styleId="FooterChar">
    <w:name w:val="Footer Char"/>
    <w:basedOn w:val="DefaultParagraphFont"/>
    <w:link w:val="Footer"/>
    <w:uiPriority w:val="99"/>
    <w:rsid w:val="00A02675"/>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A02675"/>
    <w:rPr>
      <w:rFonts w:ascii="Tahoma" w:hAnsi="Tahoma" w:cs="Tahoma"/>
      <w:sz w:val="16"/>
      <w:szCs w:val="16"/>
    </w:rPr>
  </w:style>
  <w:style w:type="character" w:customStyle="1" w:styleId="BalloonTextChar">
    <w:name w:val="Balloon Text Char"/>
    <w:basedOn w:val="DefaultParagraphFont"/>
    <w:link w:val="BalloonText"/>
    <w:uiPriority w:val="99"/>
    <w:semiHidden/>
    <w:rsid w:val="00A02675"/>
    <w:rPr>
      <w:rFonts w:ascii="Tahoma" w:eastAsia="Times New Roman" w:hAnsi="Tahoma" w:cs="Tahoma"/>
      <w:sz w:val="16"/>
      <w:szCs w:val="16"/>
      <w:lang w:eastAsia="en-GB"/>
    </w:rPr>
  </w:style>
  <w:style w:type="paragraph" w:styleId="ListParagraph">
    <w:name w:val="List Paragraph"/>
    <w:basedOn w:val="Normal"/>
    <w:uiPriority w:val="34"/>
    <w:qFormat/>
    <w:rsid w:val="00A02675"/>
    <w:pPr>
      <w:ind w:left="720"/>
      <w:contextualSpacing/>
    </w:pPr>
  </w:style>
  <w:style w:type="character" w:styleId="Hyperlink">
    <w:name w:val="Hyperlink"/>
    <w:basedOn w:val="DefaultParagraphFont"/>
    <w:uiPriority w:val="99"/>
    <w:unhideWhenUsed/>
    <w:rsid w:val="007200B4"/>
    <w:rPr>
      <w:color w:val="0000FF" w:themeColor="hyperlink"/>
      <w:u w:val="single"/>
    </w:rPr>
  </w:style>
  <w:style w:type="table" w:styleId="TableGrid">
    <w:name w:val="Table Grid"/>
    <w:basedOn w:val="TableNormal"/>
    <w:uiPriority w:val="59"/>
    <w:rsid w:val="00793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43739"/>
    <w:rPr>
      <w:color w:val="800080" w:themeColor="followedHyperlink"/>
      <w:u w:val="single"/>
    </w:rPr>
  </w:style>
  <w:style w:type="character" w:styleId="CommentReference">
    <w:name w:val="annotation reference"/>
    <w:basedOn w:val="DefaultParagraphFont"/>
    <w:uiPriority w:val="99"/>
    <w:semiHidden/>
    <w:unhideWhenUsed/>
    <w:rsid w:val="00C45566"/>
    <w:rPr>
      <w:sz w:val="16"/>
      <w:szCs w:val="16"/>
    </w:rPr>
  </w:style>
  <w:style w:type="paragraph" w:styleId="CommentText">
    <w:name w:val="annotation text"/>
    <w:basedOn w:val="Normal"/>
    <w:link w:val="CommentTextChar"/>
    <w:uiPriority w:val="99"/>
    <w:semiHidden/>
    <w:unhideWhenUsed/>
    <w:rsid w:val="00C45566"/>
    <w:rPr>
      <w:sz w:val="20"/>
    </w:rPr>
  </w:style>
  <w:style w:type="character" w:customStyle="1" w:styleId="CommentTextChar">
    <w:name w:val="Comment Text Char"/>
    <w:basedOn w:val="DefaultParagraphFont"/>
    <w:link w:val="CommentText"/>
    <w:uiPriority w:val="99"/>
    <w:semiHidden/>
    <w:rsid w:val="00C45566"/>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45566"/>
    <w:rPr>
      <w:b/>
      <w:bCs/>
    </w:rPr>
  </w:style>
  <w:style w:type="character" w:customStyle="1" w:styleId="CommentSubjectChar">
    <w:name w:val="Comment Subject Char"/>
    <w:basedOn w:val="CommentTextChar"/>
    <w:link w:val="CommentSubject"/>
    <w:uiPriority w:val="99"/>
    <w:semiHidden/>
    <w:rsid w:val="00C45566"/>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876152">
      <w:bodyDiv w:val="1"/>
      <w:marLeft w:val="0"/>
      <w:marRight w:val="0"/>
      <w:marTop w:val="0"/>
      <w:marBottom w:val="0"/>
      <w:divBdr>
        <w:top w:val="none" w:sz="0" w:space="0" w:color="auto"/>
        <w:left w:val="none" w:sz="0" w:space="0" w:color="auto"/>
        <w:bottom w:val="none" w:sz="0" w:space="0" w:color="auto"/>
        <w:right w:val="none" w:sz="0" w:space="0" w:color="auto"/>
      </w:divBdr>
    </w:div>
    <w:div w:id="1344547853">
      <w:bodyDiv w:val="1"/>
      <w:marLeft w:val="0"/>
      <w:marRight w:val="0"/>
      <w:marTop w:val="0"/>
      <w:marBottom w:val="0"/>
      <w:divBdr>
        <w:top w:val="none" w:sz="0" w:space="0" w:color="auto"/>
        <w:left w:val="none" w:sz="0" w:space="0" w:color="auto"/>
        <w:bottom w:val="none" w:sz="0" w:space="0" w:color="auto"/>
        <w:right w:val="none" w:sz="0" w:space="0" w:color="auto"/>
      </w:divBdr>
    </w:div>
    <w:div w:id="149502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FAF35-926F-48E6-8448-5E92FF3EA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CBB14870</Template>
  <TotalTime>1</TotalTime>
  <Pages>3</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aau</dc:creator>
  <cp:lastModifiedBy>aau</cp:lastModifiedBy>
  <cp:revision>3</cp:revision>
  <cp:lastPrinted>2020-03-05T11:17:00Z</cp:lastPrinted>
  <dcterms:created xsi:type="dcterms:W3CDTF">2020-04-24T14:02:00Z</dcterms:created>
  <dcterms:modified xsi:type="dcterms:W3CDTF">2020-04-24T14:03:00Z</dcterms:modified>
</cp:coreProperties>
</file>