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5A8B" w14:textId="70F7F327" w:rsidR="00F4646C" w:rsidRPr="008E272B" w:rsidRDefault="00F4646C" w:rsidP="00DF4A7E">
      <w:pPr>
        <w:spacing w:before="120" w:after="120"/>
        <w:jc w:val="center"/>
        <w:rPr>
          <w:rFonts w:cs="Arial"/>
          <w:b/>
          <w:bCs/>
          <w:sz w:val="24"/>
        </w:rPr>
      </w:pPr>
      <w:r w:rsidRPr="008E272B">
        <w:rPr>
          <w:rFonts w:cs="Arial"/>
          <w:b/>
          <w:bCs/>
          <w:sz w:val="24"/>
        </w:rPr>
        <w:t xml:space="preserve">Appendix </w:t>
      </w:r>
      <w:r w:rsidR="0062129E" w:rsidRPr="008E272B">
        <w:rPr>
          <w:rFonts w:cs="Arial"/>
          <w:b/>
          <w:bCs/>
          <w:sz w:val="24"/>
        </w:rPr>
        <w:t>A</w:t>
      </w:r>
      <w:r w:rsidRPr="008E272B">
        <w:rPr>
          <w:rFonts w:cs="Arial"/>
          <w:b/>
          <w:bCs/>
          <w:sz w:val="24"/>
        </w:rPr>
        <w:t xml:space="preserve"> - Terms of Reference</w:t>
      </w:r>
    </w:p>
    <w:p w14:paraId="59437204" w14:textId="77777777" w:rsidR="00F4646C" w:rsidRPr="008E272B" w:rsidRDefault="00F4646C" w:rsidP="00DF4A7E">
      <w:pPr>
        <w:spacing w:before="120" w:after="120"/>
        <w:jc w:val="center"/>
        <w:rPr>
          <w:rFonts w:cs="Arial"/>
          <w:b/>
          <w:bCs/>
          <w:sz w:val="24"/>
        </w:rPr>
      </w:pPr>
      <w:r w:rsidRPr="008E272B">
        <w:rPr>
          <w:rFonts w:cs="Arial"/>
          <w:b/>
          <w:bCs/>
          <w:sz w:val="24"/>
        </w:rPr>
        <w:t>Joint Consultative Committee</w:t>
      </w:r>
    </w:p>
    <w:tbl>
      <w:tblPr>
        <w:tblStyle w:val="TableGrid1"/>
        <w:tblW w:w="0" w:type="auto"/>
        <w:tblInd w:w="-176" w:type="dxa"/>
        <w:tblLayout w:type="fixed"/>
        <w:tblLook w:val="04A0" w:firstRow="1" w:lastRow="0" w:firstColumn="1" w:lastColumn="0" w:noHBand="0" w:noVBand="1"/>
      </w:tblPr>
      <w:tblGrid>
        <w:gridCol w:w="1702"/>
        <w:gridCol w:w="1134"/>
        <w:gridCol w:w="1984"/>
        <w:gridCol w:w="1985"/>
        <w:gridCol w:w="2551"/>
      </w:tblGrid>
      <w:tr w:rsidR="008E272B" w:rsidRPr="00DF4A7E" w14:paraId="60F12C76" w14:textId="77777777" w:rsidTr="00F71569">
        <w:tc>
          <w:tcPr>
            <w:tcW w:w="9356" w:type="dxa"/>
            <w:gridSpan w:val="5"/>
          </w:tcPr>
          <w:p w14:paraId="0B79F679" w14:textId="77777777" w:rsidR="00F4646C" w:rsidRPr="00DF4A7E" w:rsidRDefault="00F4646C" w:rsidP="00DF4A7E">
            <w:pPr>
              <w:spacing w:before="120" w:after="120"/>
              <w:ind w:left="720" w:hanging="720"/>
              <w:jc w:val="left"/>
              <w:rPr>
                <w:rFonts w:eastAsia="Calibri" w:cs="Arial"/>
                <w:b/>
                <w:bCs/>
                <w:sz w:val="18"/>
                <w:szCs w:val="18"/>
              </w:rPr>
            </w:pPr>
            <w:r w:rsidRPr="00DF4A7E">
              <w:rPr>
                <w:rFonts w:eastAsia="Calibri" w:cs="Arial"/>
                <w:b/>
                <w:bCs/>
                <w:sz w:val="18"/>
                <w:szCs w:val="18"/>
              </w:rPr>
              <w:t>Document Change Control</w:t>
            </w:r>
          </w:p>
        </w:tc>
      </w:tr>
      <w:tr w:rsidR="008E272B" w:rsidRPr="00DF4A7E" w14:paraId="71FDAD1B" w14:textId="77777777" w:rsidTr="00F71569">
        <w:tc>
          <w:tcPr>
            <w:tcW w:w="1702" w:type="dxa"/>
          </w:tcPr>
          <w:p w14:paraId="1F43A707"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 xml:space="preserve">Date of </w:t>
            </w:r>
          </w:p>
          <w:p w14:paraId="016B6A33"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version</w:t>
            </w:r>
          </w:p>
        </w:tc>
        <w:tc>
          <w:tcPr>
            <w:tcW w:w="1134" w:type="dxa"/>
          </w:tcPr>
          <w:p w14:paraId="10D5D1EA"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Version</w:t>
            </w:r>
          </w:p>
          <w:p w14:paraId="75E2B800"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number</w:t>
            </w:r>
          </w:p>
        </w:tc>
        <w:tc>
          <w:tcPr>
            <w:tcW w:w="1984" w:type="dxa"/>
          </w:tcPr>
          <w:p w14:paraId="15B9D3F9"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Type of Revision</w:t>
            </w:r>
          </w:p>
          <w:p w14:paraId="1505ABFC"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Major/minor</w:t>
            </w:r>
          </w:p>
        </w:tc>
        <w:tc>
          <w:tcPr>
            <w:tcW w:w="1985" w:type="dxa"/>
          </w:tcPr>
          <w:p w14:paraId="15A3A2B0" w14:textId="77777777" w:rsidR="00F4646C" w:rsidRPr="00DF4A7E" w:rsidRDefault="00F4646C" w:rsidP="00DF4A7E">
            <w:pPr>
              <w:spacing w:before="120" w:after="120"/>
              <w:jc w:val="left"/>
              <w:rPr>
                <w:rFonts w:eastAsia="Calibri" w:cs="Arial"/>
                <w:b/>
                <w:bCs/>
                <w:sz w:val="18"/>
                <w:szCs w:val="18"/>
              </w:rPr>
            </w:pPr>
            <w:r w:rsidRPr="00DF4A7E">
              <w:rPr>
                <w:rFonts w:eastAsia="Calibri" w:cs="Arial"/>
                <w:b/>
                <w:bCs/>
                <w:sz w:val="18"/>
                <w:szCs w:val="18"/>
              </w:rPr>
              <w:t>Description of Revisions</w:t>
            </w:r>
          </w:p>
        </w:tc>
        <w:tc>
          <w:tcPr>
            <w:tcW w:w="2551" w:type="dxa"/>
          </w:tcPr>
          <w:p w14:paraId="41A4FFFF" w14:textId="77777777" w:rsidR="00F4646C" w:rsidRPr="00DF4A7E" w:rsidRDefault="00F4646C" w:rsidP="00DF4A7E">
            <w:pPr>
              <w:spacing w:before="120" w:after="120"/>
              <w:ind w:left="680" w:hanging="680"/>
              <w:jc w:val="left"/>
              <w:rPr>
                <w:rFonts w:eastAsia="Calibri" w:cs="Arial"/>
                <w:b/>
                <w:bCs/>
                <w:sz w:val="18"/>
                <w:szCs w:val="18"/>
              </w:rPr>
            </w:pPr>
            <w:r w:rsidRPr="00DF4A7E">
              <w:rPr>
                <w:rFonts w:eastAsia="Calibri" w:cs="Arial"/>
                <w:b/>
                <w:bCs/>
                <w:sz w:val="18"/>
                <w:szCs w:val="18"/>
              </w:rPr>
              <w:t>Author</w:t>
            </w:r>
          </w:p>
        </w:tc>
      </w:tr>
      <w:tr w:rsidR="008E272B" w:rsidRPr="00DF4A7E" w14:paraId="0E8BB967" w14:textId="77777777" w:rsidTr="00F71569">
        <w:tc>
          <w:tcPr>
            <w:tcW w:w="1702" w:type="dxa"/>
          </w:tcPr>
          <w:p w14:paraId="2BE6CBFD" w14:textId="77777777" w:rsidR="00F4646C" w:rsidRPr="00DF4A7E" w:rsidRDefault="00F4646C" w:rsidP="00DF4A7E">
            <w:pPr>
              <w:spacing w:before="120" w:after="120"/>
              <w:ind w:left="720" w:hanging="720"/>
              <w:jc w:val="left"/>
              <w:rPr>
                <w:rFonts w:eastAsia="Calibri" w:cs="Arial"/>
                <w:bCs/>
                <w:sz w:val="18"/>
                <w:szCs w:val="18"/>
              </w:rPr>
            </w:pPr>
            <w:r w:rsidRPr="00DF4A7E">
              <w:rPr>
                <w:rFonts w:eastAsia="Calibri" w:cs="Arial"/>
                <w:bCs/>
                <w:sz w:val="18"/>
                <w:szCs w:val="18"/>
              </w:rPr>
              <w:t>28 Dec 22</w:t>
            </w:r>
          </w:p>
        </w:tc>
        <w:tc>
          <w:tcPr>
            <w:tcW w:w="1134" w:type="dxa"/>
          </w:tcPr>
          <w:p w14:paraId="502C6108" w14:textId="77777777" w:rsidR="00F4646C" w:rsidRPr="00DF4A7E" w:rsidRDefault="00F4646C" w:rsidP="00DF4A7E">
            <w:pPr>
              <w:spacing w:before="120" w:after="120"/>
              <w:ind w:left="720" w:hanging="720"/>
              <w:jc w:val="left"/>
              <w:rPr>
                <w:rFonts w:eastAsia="Calibri" w:cs="Arial"/>
                <w:bCs/>
                <w:sz w:val="18"/>
                <w:szCs w:val="18"/>
              </w:rPr>
            </w:pPr>
            <w:r w:rsidRPr="00DF4A7E">
              <w:rPr>
                <w:rFonts w:eastAsia="Calibri" w:cs="Arial"/>
                <w:bCs/>
                <w:sz w:val="18"/>
                <w:szCs w:val="18"/>
              </w:rPr>
              <w:t>1.1</w:t>
            </w:r>
          </w:p>
        </w:tc>
        <w:tc>
          <w:tcPr>
            <w:tcW w:w="1984" w:type="dxa"/>
          </w:tcPr>
          <w:p w14:paraId="51934B9E" w14:textId="77777777" w:rsidR="00F4646C" w:rsidRPr="00DF4A7E" w:rsidRDefault="00F4646C" w:rsidP="00DF4A7E">
            <w:pPr>
              <w:spacing w:before="120" w:after="120"/>
              <w:ind w:left="720" w:hanging="720"/>
              <w:jc w:val="left"/>
              <w:rPr>
                <w:rFonts w:eastAsia="Calibri" w:cs="Arial"/>
                <w:bCs/>
                <w:sz w:val="18"/>
                <w:szCs w:val="18"/>
              </w:rPr>
            </w:pPr>
            <w:r w:rsidRPr="00DF4A7E">
              <w:rPr>
                <w:rFonts w:eastAsia="Calibri" w:cs="Arial"/>
                <w:bCs/>
                <w:sz w:val="18"/>
                <w:szCs w:val="18"/>
              </w:rPr>
              <w:t>Minor</w:t>
            </w:r>
          </w:p>
        </w:tc>
        <w:tc>
          <w:tcPr>
            <w:tcW w:w="1985" w:type="dxa"/>
          </w:tcPr>
          <w:p w14:paraId="1AC8D2D4" w14:textId="77777777" w:rsidR="00F4646C" w:rsidRPr="00DF4A7E" w:rsidRDefault="00F4646C" w:rsidP="00DF4A7E">
            <w:pPr>
              <w:spacing w:before="120" w:after="120"/>
              <w:jc w:val="left"/>
              <w:rPr>
                <w:rFonts w:eastAsia="Calibri" w:cs="Arial"/>
                <w:bCs/>
                <w:sz w:val="18"/>
                <w:szCs w:val="18"/>
              </w:rPr>
            </w:pPr>
            <w:r w:rsidRPr="00DF4A7E">
              <w:rPr>
                <w:rFonts w:eastAsia="Calibri" w:cs="Arial"/>
                <w:bCs/>
                <w:sz w:val="18"/>
                <w:szCs w:val="18"/>
              </w:rPr>
              <w:t>Format Change, Minor amendments</w:t>
            </w:r>
          </w:p>
        </w:tc>
        <w:tc>
          <w:tcPr>
            <w:tcW w:w="2551" w:type="dxa"/>
          </w:tcPr>
          <w:p w14:paraId="254CCE1B" w14:textId="77777777" w:rsidR="00F4646C" w:rsidRPr="00DF4A7E" w:rsidRDefault="00F4646C" w:rsidP="00DF4A7E">
            <w:pPr>
              <w:spacing w:before="120" w:after="120"/>
              <w:jc w:val="left"/>
              <w:rPr>
                <w:rFonts w:eastAsia="Calibri" w:cs="Arial"/>
                <w:bCs/>
                <w:sz w:val="18"/>
                <w:szCs w:val="18"/>
              </w:rPr>
            </w:pPr>
            <w:r w:rsidRPr="00DF4A7E">
              <w:rPr>
                <w:rFonts w:eastAsia="Calibri" w:cs="Arial"/>
                <w:bCs/>
                <w:sz w:val="18"/>
                <w:szCs w:val="18"/>
              </w:rPr>
              <w:t>Ian Crowley</w:t>
            </w:r>
          </w:p>
        </w:tc>
      </w:tr>
    </w:tbl>
    <w:p w14:paraId="0AC20D02" w14:textId="77777777" w:rsidR="00F4646C" w:rsidRPr="00DF4A7E" w:rsidRDefault="00F4646C" w:rsidP="00DF4A7E">
      <w:pPr>
        <w:pStyle w:val="ListParagraph"/>
        <w:spacing w:before="120" w:after="120"/>
        <w:ind w:left="792"/>
        <w:rPr>
          <w:rFonts w:cs="Arial"/>
          <w:sz w:val="18"/>
          <w:szCs w:val="18"/>
        </w:rPr>
      </w:pPr>
    </w:p>
    <w:tbl>
      <w:tblPr>
        <w:tblW w:w="4807" w:type="pct"/>
        <w:tblInd w:w="-152" w:type="dxa"/>
        <w:tblCellMar>
          <w:top w:w="15" w:type="dxa"/>
          <w:left w:w="15" w:type="dxa"/>
          <w:bottom w:w="15" w:type="dxa"/>
          <w:right w:w="15" w:type="dxa"/>
        </w:tblCellMar>
        <w:tblLook w:val="04A0" w:firstRow="1" w:lastRow="0" w:firstColumn="1" w:lastColumn="0" w:noHBand="0" w:noVBand="1"/>
      </w:tblPr>
      <w:tblGrid>
        <w:gridCol w:w="4316"/>
        <w:gridCol w:w="5039"/>
      </w:tblGrid>
      <w:tr w:rsidR="008E272B" w:rsidRPr="00DF4A7E" w14:paraId="34692AF9" w14:textId="77777777" w:rsidTr="00DF4A7E">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5179BFDF" w14:textId="77777777" w:rsidR="00F4646C" w:rsidRPr="00DF4A7E" w:rsidRDefault="00F4646C" w:rsidP="00DF4A7E">
            <w:pPr>
              <w:spacing w:before="120" w:after="120"/>
              <w:rPr>
                <w:rFonts w:cs="Arial"/>
                <w:b/>
                <w:bCs/>
                <w:sz w:val="18"/>
                <w:szCs w:val="18"/>
              </w:rPr>
            </w:pPr>
            <w:r w:rsidRPr="00DF4A7E">
              <w:rPr>
                <w:rFonts w:cs="Arial"/>
                <w:b/>
                <w:bCs/>
                <w:sz w:val="18"/>
                <w:szCs w:val="18"/>
              </w:rPr>
              <w:t xml:space="preserve">Date Adopted </w:t>
            </w:r>
          </w:p>
        </w:tc>
        <w:tc>
          <w:tcPr>
            <w:tcW w:w="2693" w:type="pct"/>
            <w:tcBorders>
              <w:top w:val="single" w:sz="4" w:space="0" w:color="006DBF"/>
              <w:left w:val="single" w:sz="8" w:space="0" w:color="006DBC"/>
              <w:bottom w:val="single" w:sz="4" w:space="0" w:color="006DBF"/>
              <w:right w:val="single" w:sz="4" w:space="0" w:color="006DBF"/>
            </w:tcBorders>
            <w:vAlign w:val="center"/>
          </w:tcPr>
          <w:p w14:paraId="46C2A60D" w14:textId="77777777" w:rsidR="00F4646C" w:rsidRPr="00DF4A7E" w:rsidRDefault="00F4646C" w:rsidP="00DF4A7E">
            <w:pPr>
              <w:spacing w:before="120" w:after="120"/>
              <w:rPr>
                <w:rFonts w:cs="Arial"/>
                <w:sz w:val="18"/>
                <w:szCs w:val="18"/>
              </w:rPr>
            </w:pPr>
            <w:r w:rsidRPr="00DF4A7E">
              <w:rPr>
                <w:rFonts w:cs="Arial"/>
                <w:sz w:val="18"/>
                <w:szCs w:val="18"/>
              </w:rPr>
              <w:t xml:space="preserve"> Jul 2017</w:t>
            </w:r>
          </w:p>
        </w:tc>
      </w:tr>
      <w:tr w:rsidR="008E272B" w:rsidRPr="00DF4A7E" w14:paraId="6FF3DCD1" w14:textId="77777777" w:rsidTr="00DF4A7E">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41A25BAA" w14:textId="77777777" w:rsidR="00F4646C" w:rsidRPr="00DF4A7E" w:rsidRDefault="00F4646C" w:rsidP="00DF4A7E">
            <w:pPr>
              <w:spacing w:before="120" w:after="120"/>
              <w:rPr>
                <w:rFonts w:cs="Arial"/>
                <w:b/>
                <w:bCs/>
                <w:sz w:val="18"/>
                <w:szCs w:val="18"/>
              </w:rPr>
            </w:pPr>
            <w:r w:rsidRPr="00DF4A7E">
              <w:rPr>
                <w:rFonts w:cs="Arial"/>
                <w:b/>
                <w:bCs/>
                <w:sz w:val="18"/>
                <w:szCs w:val="18"/>
              </w:rPr>
              <w:t xml:space="preserve">Review Frequency </w:t>
            </w:r>
          </w:p>
        </w:tc>
        <w:tc>
          <w:tcPr>
            <w:tcW w:w="2693" w:type="pct"/>
            <w:tcBorders>
              <w:top w:val="single" w:sz="4" w:space="0" w:color="006DBF"/>
              <w:left w:val="single" w:sz="8" w:space="0" w:color="006DBC"/>
              <w:bottom w:val="single" w:sz="4" w:space="0" w:color="006DBF"/>
              <w:right w:val="single" w:sz="4" w:space="0" w:color="006DBF"/>
            </w:tcBorders>
            <w:vAlign w:val="center"/>
          </w:tcPr>
          <w:p w14:paraId="0CA34DFF" w14:textId="77777777" w:rsidR="00F4646C" w:rsidRPr="00DF4A7E" w:rsidRDefault="00F4646C" w:rsidP="00DF4A7E">
            <w:pPr>
              <w:spacing w:before="120" w:after="120"/>
              <w:rPr>
                <w:rFonts w:cs="Arial"/>
                <w:sz w:val="18"/>
                <w:szCs w:val="18"/>
              </w:rPr>
            </w:pPr>
            <w:r w:rsidRPr="00DF4A7E">
              <w:rPr>
                <w:rFonts w:cs="Arial"/>
                <w:sz w:val="18"/>
                <w:szCs w:val="18"/>
              </w:rPr>
              <w:t>Annual</w:t>
            </w:r>
          </w:p>
        </w:tc>
      </w:tr>
      <w:tr w:rsidR="008E272B" w:rsidRPr="00DF4A7E" w14:paraId="0741C1F4" w14:textId="77777777" w:rsidTr="00DF4A7E">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hideMark/>
          </w:tcPr>
          <w:p w14:paraId="796B2C11" w14:textId="77777777" w:rsidR="00F4646C" w:rsidRPr="00DF4A7E" w:rsidRDefault="00F4646C" w:rsidP="00DF4A7E">
            <w:pPr>
              <w:spacing w:before="120" w:after="120"/>
              <w:rPr>
                <w:rFonts w:cs="Arial"/>
                <w:sz w:val="18"/>
                <w:szCs w:val="18"/>
              </w:rPr>
            </w:pPr>
            <w:r w:rsidRPr="00DF4A7E">
              <w:rPr>
                <w:rFonts w:cs="Arial"/>
                <w:b/>
                <w:bCs/>
                <w:sz w:val="18"/>
                <w:szCs w:val="18"/>
              </w:rPr>
              <w:t xml:space="preserve">Terms of Reference Drafting </w:t>
            </w:r>
          </w:p>
        </w:tc>
        <w:tc>
          <w:tcPr>
            <w:tcW w:w="2693" w:type="pct"/>
            <w:tcBorders>
              <w:top w:val="single" w:sz="4" w:space="0" w:color="006DBF"/>
              <w:left w:val="single" w:sz="8" w:space="0" w:color="006DBC"/>
              <w:bottom w:val="single" w:sz="4" w:space="0" w:color="006DBF"/>
              <w:right w:val="single" w:sz="4" w:space="0" w:color="006DBF"/>
            </w:tcBorders>
            <w:vAlign w:val="center"/>
          </w:tcPr>
          <w:p w14:paraId="1F8688FB" w14:textId="77777777" w:rsidR="00F4646C" w:rsidRPr="00DF4A7E" w:rsidRDefault="00F4646C" w:rsidP="00DF4A7E">
            <w:pPr>
              <w:spacing w:before="120" w:after="120"/>
              <w:rPr>
                <w:rFonts w:cs="Arial"/>
                <w:sz w:val="18"/>
                <w:szCs w:val="18"/>
              </w:rPr>
            </w:pPr>
            <w:r w:rsidRPr="00DF4A7E">
              <w:rPr>
                <w:rFonts w:cs="Arial"/>
                <w:sz w:val="18"/>
                <w:szCs w:val="18"/>
              </w:rPr>
              <w:t>Deputy Chief People Officer</w:t>
            </w:r>
          </w:p>
        </w:tc>
      </w:tr>
      <w:tr w:rsidR="008E272B" w:rsidRPr="00DF4A7E" w14:paraId="0AFBB80C" w14:textId="77777777" w:rsidTr="00DF4A7E">
        <w:tc>
          <w:tcPr>
            <w:tcW w:w="2307" w:type="pct"/>
            <w:tcBorders>
              <w:top w:val="single" w:sz="4" w:space="0" w:color="006DBF"/>
              <w:left w:val="single" w:sz="8" w:space="0" w:color="006DBF"/>
              <w:bottom w:val="single" w:sz="4" w:space="0" w:color="006DBF"/>
              <w:right w:val="single" w:sz="8" w:space="0" w:color="006DBF"/>
            </w:tcBorders>
            <w:shd w:val="clear" w:color="auto" w:fill="0070C0"/>
            <w:vAlign w:val="center"/>
            <w:hideMark/>
          </w:tcPr>
          <w:p w14:paraId="00BA6D09" w14:textId="77777777" w:rsidR="00F4646C" w:rsidRPr="00DF4A7E" w:rsidRDefault="00F4646C" w:rsidP="00DF4A7E">
            <w:pPr>
              <w:spacing w:before="120" w:after="120"/>
              <w:rPr>
                <w:rFonts w:cs="Arial"/>
                <w:sz w:val="18"/>
                <w:szCs w:val="18"/>
              </w:rPr>
            </w:pPr>
            <w:r w:rsidRPr="00DF4A7E">
              <w:rPr>
                <w:rFonts w:cs="Arial"/>
                <w:b/>
                <w:bCs/>
                <w:sz w:val="18"/>
                <w:szCs w:val="18"/>
              </w:rPr>
              <w:t xml:space="preserve">Review and Approval </w:t>
            </w:r>
          </w:p>
        </w:tc>
        <w:tc>
          <w:tcPr>
            <w:tcW w:w="2693" w:type="pct"/>
            <w:tcBorders>
              <w:top w:val="single" w:sz="4" w:space="0" w:color="006DBF"/>
              <w:left w:val="single" w:sz="8" w:space="0" w:color="006DBF"/>
              <w:bottom w:val="single" w:sz="4" w:space="0" w:color="006DBF"/>
              <w:right w:val="single" w:sz="4" w:space="0" w:color="006DBF"/>
            </w:tcBorders>
            <w:vAlign w:val="center"/>
          </w:tcPr>
          <w:p w14:paraId="0AF59903" w14:textId="3C112767" w:rsidR="00F4646C" w:rsidRPr="00DF4A7E" w:rsidRDefault="00F4646C" w:rsidP="00DF4A7E">
            <w:pPr>
              <w:spacing w:before="120" w:after="120"/>
              <w:rPr>
                <w:rFonts w:cs="Arial"/>
                <w:sz w:val="18"/>
                <w:szCs w:val="18"/>
              </w:rPr>
            </w:pPr>
            <w:r w:rsidRPr="00DF4A7E">
              <w:rPr>
                <w:rFonts w:cs="Arial"/>
                <w:sz w:val="18"/>
                <w:szCs w:val="18"/>
              </w:rPr>
              <w:t>JCC</w:t>
            </w:r>
          </w:p>
        </w:tc>
      </w:tr>
      <w:tr w:rsidR="008E272B" w:rsidRPr="00DF4A7E" w14:paraId="2059F229" w14:textId="77777777" w:rsidTr="00DF4A7E">
        <w:trPr>
          <w:trHeight w:val="182"/>
        </w:trPr>
        <w:tc>
          <w:tcPr>
            <w:tcW w:w="2307" w:type="pct"/>
            <w:tcBorders>
              <w:top w:val="single" w:sz="4" w:space="0" w:color="006DBF"/>
              <w:left w:val="single" w:sz="8" w:space="0" w:color="006BBA"/>
              <w:bottom w:val="single" w:sz="4" w:space="0" w:color="006DBF"/>
              <w:right w:val="single" w:sz="8" w:space="0" w:color="006DBA"/>
            </w:tcBorders>
            <w:shd w:val="clear" w:color="auto" w:fill="0070C0"/>
            <w:vAlign w:val="center"/>
            <w:hideMark/>
          </w:tcPr>
          <w:p w14:paraId="75D06CED" w14:textId="77777777" w:rsidR="00F4646C" w:rsidRPr="00DF4A7E" w:rsidRDefault="00F4646C" w:rsidP="00DF4A7E">
            <w:pPr>
              <w:spacing w:before="120" w:after="120"/>
              <w:rPr>
                <w:rFonts w:cs="Arial"/>
                <w:sz w:val="18"/>
                <w:szCs w:val="18"/>
              </w:rPr>
            </w:pPr>
            <w:r w:rsidRPr="00DF4A7E">
              <w:rPr>
                <w:rFonts w:cs="Arial"/>
                <w:b/>
                <w:bCs/>
                <w:sz w:val="18"/>
                <w:szCs w:val="18"/>
              </w:rPr>
              <w:t xml:space="preserve">Adoption and ratification </w:t>
            </w:r>
          </w:p>
        </w:tc>
        <w:tc>
          <w:tcPr>
            <w:tcW w:w="2693" w:type="pct"/>
            <w:tcBorders>
              <w:top w:val="single" w:sz="4" w:space="0" w:color="006DBF"/>
              <w:left w:val="single" w:sz="8" w:space="0" w:color="006DBA"/>
              <w:bottom w:val="single" w:sz="4" w:space="0" w:color="006DBF"/>
              <w:right w:val="single" w:sz="4" w:space="0" w:color="006DBF"/>
            </w:tcBorders>
            <w:vAlign w:val="center"/>
          </w:tcPr>
          <w:p w14:paraId="57EFAA02" w14:textId="77777777" w:rsidR="00F4646C" w:rsidRPr="00DF4A7E" w:rsidRDefault="00F4646C" w:rsidP="00DF4A7E">
            <w:pPr>
              <w:spacing w:before="120" w:after="120"/>
              <w:rPr>
                <w:rFonts w:cs="Arial"/>
                <w:sz w:val="18"/>
                <w:szCs w:val="18"/>
              </w:rPr>
            </w:pPr>
            <w:r w:rsidRPr="00DF4A7E">
              <w:rPr>
                <w:rFonts w:cs="Arial"/>
                <w:sz w:val="18"/>
                <w:szCs w:val="18"/>
              </w:rPr>
              <w:t xml:space="preserve"> 5 Jan 23</w:t>
            </w:r>
          </w:p>
        </w:tc>
      </w:tr>
    </w:tbl>
    <w:p w14:paraId="2FDB11BD" w14:textId="3D59074F" w:rsidR="00F4646C" w:rsidRDefault="00F4646C" w:rsidP="00DF4A7E">
      <w:pPr>
        <w:pStyle w:val="ListParagraph"/>
        <w:spacing w:before="120" w:after="120"/>
        <w:ind w:left="360"/>
        <w:contextualSpacing w:val="0"/>
        <w:rPr>
          <w:rFonts w:cs="Arial"/>
          <w:b/>
          <w:szCs w:val="22"/>
        </w:rPr>
      </w:pPr>
    </w:p>
    <w:p w14:paraId="1B7A4641" w14:textId="77777777" w:rsidR="00DF4A7E" w:rsidRPr="008E272B" w:rsidRDefault="00DF4A7E" w:rsidP="00DF4A7E">
      <w:pPr>
        <w:pStyle w:val="ListParagraph"/>
        <w:spacing w:before="120" w:after="120"/>
        <w:ind w:left="360"/>
        <w:contextualSpacing w:val="0"/>
        <w:rPr>
          <w:rFonts w:cs="Arial"/>
          <w:b/>
          <w:szCs w:val="22"/>
        </w:rPr>
      </w:pPr>
    </w:p>
    <w:p w14:paraId="490A4A35" w14:textId="77777777" w:rsidR="00F4646C" w:rsidRPr="008E272B" w:rsidRDefault="00F4646C" w:rsidP="00DF4A7E">
      <w:pPr>
        <w:pStyle w:val="ListParagraph"/>
        <w:numPr>
          <w:ilvl w:val="0"/>
          <w:numId w:val="27"/>
        </w:numPr>
        <w:spacing w:before="120" w:after="120"/>
        <w:contextualSpacing w:val="0"/>
        <w:rPr>
          <w:rFonts w:cs="Arial"/>
          <w:b/>
          <w:sz w:val="24"/>
        </w:rPr>
      </w:pPr>
      <w:r w:rsidRPr="008E272B">
        <w:rPr>
          <w:rFonts w:cs="Arial"/>
          <w:b/>
          <w:sz w:val="24"/>
        </w:rPr>
        <w:t>Purpose.  The Joint Consultative Committee (JCC) is:</w:t>
      </w:r>
    </w:p>
    <w:p w14:paraId="2ACDA9A6"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To establish and maintain regular methods of negotiation and consultation between the Trust and its employees to maintain and improve employee / indus</w:t>
      </w:r>
      <w:r w:rsidRPr="008E272B">
        <w:rPr>
          <w:rFonts w:cs="Arial"/>
          <w:szCs w:val="22"/>
        </w:rPr>
        <w:softHyphen/>
        <w:t>trial relations.</w:t>
      </w:r>
    </w:p>
    <w:p w14:paraId="2EF20957"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To provide for the participation of staff in decisions that affect their working lives by establish</w:t>
      </w:r>
      <w:r w:rsidRPr="008E272B">
        <w:rPr>
          <w:rFonts w:cs="Arial"/>
          <w:szCs w:val="22"/>
        </w:rPr>
        <w:softHyphen/>
        <w:t>ing a regular channel where Trust policies may be discussed, differences resolved, and representation made.</w:t>
      </w:r>
    </w:p>
    <w:p w14:paraId="165D25C0"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To consider any collective employee / industrial relations matter referred to it by any Staff Side union recognised under this agreement.</w:t>
      </w:r>
    </w:p>
    <w:p w14:paraId="0E7DF3BF"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The </w:t>
      </w:r>
      <w:smartTag w:uri="urn:schemas-microsoft-com:office:smarttags" w:element="stockticker">
        <w:r w:rsidRPr="008E272B">
          <w:rPr>
            <w:rFonts w:cs="Arial"/>
            <w:szCs w:val="22"/>
          </w:rPr>
          <w:t>JCC</w:t>
        </w:r>
      </w:smartTag>
      <w:r w:rsidRPr="008E272B">
        <w:rPr>
          <w:rFonts w:cs="Arial"/>
          <w:szCs w:val="22"/>
        </w:rPr>
        <w:t xml:space="preserve"> and its designated sub-committees will act as a consultative and negotiating body, to deal with all terms and conditions of employment and all other matters referred to throughout these procedures.</w:t>
      </w:r>
    </w:p>
    <w:p w14:paraId="10FC9452" w14:textId="766D6FC5" w:rsidR="00F4646C"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The Trust will take full account of the infor</w:t>
      </w:r>
      <w:r w:rsidRPr="008E272B">
        <w:rPr>
          <w:rFonts w:cs="Arial"/>
          <w:szCs w:val="22"/>
        </w:rPr>
        <w:softHyphen/>
        <w:t xml:space="preserve">mation requirements for collective bargaining purposes as set out in </w:t>
      </w:r>
      <w:smartTag w:uri="urn:schemas-microsoft-com:office:smarttags" w:element="stockticker">
        <w:r w:rsidRPr="008E272B">
          <w:rPr>
            <w:rFonts w:cs="Arial"/>
            <w:szCs w:val="22"/>
          </w:rPr>
          <w:t>ACAS</w:t>
        </w:r>
      </w:smartTag>
      <w:r w:rsidRPr="008E272B">
        <w:rPr>
          <w:rFonts w:cs="Arial"/>
          <w:szCs w:val="22"/>
        </w:rPr>
        <w:t xml:space="preserve"> Code of Practice "Disclosure of Information to Trade Unions for Collective Bargaining Purposes”.</w:t>
      </w:r>
    </w:p>
    <w:p w14:paraId="5F65C0DD" w14:textId="77777777" w:rsidR="00DF4A7E" w:rsidRPr="008E272B" w:rsidRDefault="00DF4A7E" w:rsidP="00DF4A7E">
      <w:pPr>
        <w:pStyle w:val="ListParagraph"/>
        <w:spacing w:before="120" w:after="120"/>
        <w:ind w:left="710"/>
        <w:contextualSpacing w:val="0"/>
        <w:rPr>
          <w:rFonts w:cs="Arial"/>
          <w:szCs w:val="22"/>
        </w:rPr>
      </w:pPr>
    </w:p>
    <w:p w14:paraId="2D652BD2" w14:textId="77777777" w:rsidR="00DF4A7E" w:rsidRPr="00DF4A7E" w:rsidRDefault="00F4646C" w:rsidP="00DF4A7E">
      <w:pPr>
        <w:pStyle w:val="ListParagraph"/>
        <w:numPr>
          <w:ilvl w:val="0"/>
          <w:numId w:val="27"/>
        </w:numPr>
        <w:spacing w:before="120" w:after="120"/>
        <w:ind w:left="0" w:firstLine="0"/>
        <w:contextualSpacing w:val="0"/>
        <w:rPr>
          <w:rFonts w:cs="Arial"/>
          <w:b/>
          <w:sz w:val="24"/>
        </w:rPr>
      </w:pPr>
      <w:r w:rsidRPr="008E272B">
        <w:rPr>
          <w:rFonts w:cs="Arial"/>
          <w:b/>
          <w:sz w:val="24"/>
        </w:rPr>
        <w:t>Authority.</w:t>
      </w:r>
      <w:r w:rsidRPr="008E272B">
        <w:rPr>
          <w:rFonts w:cs="Arial"/>
          <w:bCs/>
          <w:sz w:val="24"/>
        </w:rPr>
        <w:t xml:space="preserve">  </w:t>
      </w:r>
    </w:p>
    <w:p w14:paraId="44D2CE87" w14:textId="0ECB6EC5" w:rsidR="00F4646C" w:rsidRPr="00DF4A7E" w:rsidRDefault="00F4646C" w:rsidP="00DF4A7E">
      <w:pPr>
        <w:pStyle w:val="ListParagraph"/>
        <w:spacing w:before="120" w:after="120"/>
        <w:ind w:left="0"/>
        <w:contextualSpacing w:val="0"/>
        <w:rPr>
          <w:rFonts w:cs="Arial"/>
          <w:b/>
          <w:sz w:val="24"/>
        </w:rPr>
      </w:pPr>
      <w:r w:rsidRPr="008E272B">
        <w:rPr>
          <w:rFonts w:cs="Arial"/>
          <w:bCs/>
          <w:szCs w:val="22"/>
        </w:rPr>
        <w:t>The JCC is constituted in accordance with the NHS Terms and Conditions of Service Handbook, Annex 26 and is</w:t>
      </w:r>
      <w:r w:rsidRPr="008E272B">
        <w:rPr>
          <w:rFonts w:cs="Arial"/>
          <w:b/>
          <w:szCs w:val="22"/>
        </w:rPr>
        <w:t xml:space="preserve"> </w:t>
      </w:r>
      <w:r w:rsidRPr="008E272B">
        <w:rPr>
          <w:rFonts w:cs="Arial"/>
          <w:bCs/>
          <w:szCs w:val="22"/>
        </w:rPr>
        <w:t>overseen by the OD&amp;P Management Board to the People and Culture Committee.</w:t>
      </w:r>
      <w:r w:rsidRPr="008E272B">
        <w:rPr>
          <w:rFonts w:cs="Arial"/>
          <w:b/>
          <w:szCs w:val="22"/>
        </w:rPr>
        <w:t xml:space="preserve">  </w:t>
      </w:r>
    </w:p>
    <w:p w14:paraId="18123D6E" w14:textId="3CE5FC50" w:rsidR="00DF4A7E" w:rsidRDefault="00DF4A7E" w:rsidP="00DF4A7E">
      <w:pPr>
        <w:pStyle w:val="ListParagraph"/>
        <w:spacing w:before="120" w:after="120"/>
        <w:ind w:left="0"/>
        <w:contextualSpacing w:val="0"/>
        <w:rPr>
          <w:rFonts w:cs="Arial"/>
          <w:b/>
          <w:sz w:val="24"/>
        </w:rPr>
      </w:pPr>
    </w:p>
    <w:p w14:paraId="5E0D5497" w14:textId="77777777" w:rsidR="00DF4A7E" w:rsidRPr="008E272B" w:rsidRDefault="00DF4A7E" w:rsidP="00DF4A7E">
      <w:pPr>
        <w:pStyle w:val="ListParagraph"/>
        <w:spacing w:before="120" w:after="120"/>
        <w:ind w:left="0"/>
        <w:contextualSpacing w:val="0"/>
        <w:rPr>
          <w:rFonts w:cs="Arial"/>
          <w:b/>
          <w:sz w:val="24"/>
        </w:rPr>
      </w:pPr>
    </w:p>
    <w:p w14:paraId="6649E87B" w14:textId="77777777" w:rsidR="00F4646C" w:rsidRPr="008E272B" w:rsidRDefault="00F4646C" w:rsidP="00DF4A7E">
      <w:pPr>
        <w:pStyle w:val="ListParagraph"/>
        <w:numPr>
          <w:ilvl w:val="0"/>
          <w:numId w:val="27"/>
        </w:numPr>
        <w:spacing w:before="120" w:after="120"/>
        <w:contextualSpacing w:val="0"/>
        <w:rPr>
          <w:rFonts w:cs="Arial"/>
          <w:sz w:val="24"/>
        </w:rPr>
      </w:pPr>
      <w:r w:rsidRPr="008E272B">
        <w:rPr>
          <w:rFonts w:cs="Arial"/>
          <w:b/>
          <w:sz w:val="24"/>
        </w:rPr>
        <w:lastRenderedPageBreak/>
        <w:t xml:space="preserve">Membership and Attendance </w:t>
      </w:r>
    </w:p>
    <w:p w14:paraId="3C68B5EA"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The Trust side shall be designated by the Chief Executive and will consist of no more than ten people.</w:t>
      </w:r>
    </w:p>
    <w:p w14:paraId="181795D2" w14:textId="0FCFB212"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All those recognised Staff Side unions listed in the main agreement under paragraph 1 shall have one seat on the </w:t>
      </w:r>
      <w:smartTag w:uri="urn:schemas-microsoft-com:office:smarttags" w:element="stockticker">
        <w:r w:rsidRPr="008E272B">
          <w:rPr>
            <w:rFonts w:cs="Arial"/>
            <w:szCs w:val="22"/>
          </w:rPr>
          <w:t>JCC</w:t>
        </w:r>
      </w:smartTag>
      <w:r w:rsidRPr="008E272B">
        <w:rPr>
          <w:rFonts w:cs="Arial"/>
          <w:szCs w:val="22"/>
        </w:rPr>
        <w:t xml:space="preserve">, </w:t>
      </w:r>
      <w:r w:rsidR="003B0CB0" w:rsidRPr="008E272B">
        <w:rPr>
          <w:rFonts w:cs="Arial"/>
          <w:szCs w:val="22"/>
        </w:rPr>
        <w:t>except for</w:t>
      </w:r>
      <w:r w:rsidRPr="008E272B">
        <w:rPr>
          <w:rFonts w:cs="Arial"/>
          <w:szCs w:val="22"/>
        </w:rPr>
        <w:t xml:space="preserve"> UNISON and RCN who will have two seats. </w:t>
      </w:r>
    </w:p>
    <w:p w14:paraId="5BDB5B86"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Both sides may co-opt additional members as required, for specific items on the agenda by notice to the Joint Secretaries.  </w:t>
      </w:r>
    </w:p>
    <w:p w14:paraId="09531367" w14:textId="4073024B" w:rsidR="00F4646C"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A quorum shall consist of three members of the Staff Side, broadly representative of the full side, together with three members of the Management side.</w:t>
      </w:r>
    </w:p>
    <w:p w14:paraId="172BBE22" w14:textId="77777777" w:rsidR="00DF4A7E" w:rsidRPr="008E272B" w:rsidRDefault="00DF4A7E" w:rsidP="00DF4A7E">
      <w:pPr>
        <w:pStyle w:val="ListParagraph"/>
        <w:spacing w:before="120" w:after="120"/>
        <w:ind w:left="710"/>
        <w:contextualSpacing w:val="0"/>
        <w:rPr>
          <w:rFonts w:cs="Arial"/>
          <w:szCs w:val="22"/>
        </w:rPr>
      </w:pPr>
    </w:p>
    <w:p w14:paraId="531C0339" w14:textId="77777777" w:rsidR="00F4646C" w:rsidRPr="008E272B" w:rsidRDefault="00F4646C" w:rsidP="00DF4A7E">
      <w:pPr>
        <w:pStyle w:val="ListParagraph"/>
        <w:numPr>
          <w:ilvl w:val="0"/>
          <w:numId w:val="27"/>
        </w:numPr>
        <w:spacing w:before="120" w:after="120"/>
        <w:contextualSpacing w:val="0"/>
        <w:rPr>
          <w:rFonts w:cs="Arial"/>
          <w:sz w:val="24"/>
        </w:rPr>
      </w:pPr>
      <w:r w:rsidRPr="008E272B">
        <w:rPr>
          <w:rFonts w:cs="Arial"/>
          <w:b/>
          <w:sz w:val="24"/>
        </w:rPr>
        <w:t>Roles and Responsibilities (not delegated unless otherwise stated)</w:t>
      </w:r>
    </w:p>
    <w:p w14:paraId="74B4935F"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The Chair shall be held in alternate meetings by the Trust Chairperson and the Staff Side Chairperson.</w:t>
      </w:r>
    </w:p>
    <w:p w14:paraId="4E869268"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There shall be Joint Secretaries to the </w:t>
      </w:r>
      <w:smartTag w:uri="urn:schemas-microsoft-com:office:smarttags" w:element="stockticker">
        <w:r w:rsidRPr="008E272B">
          <w:rPr>
            <w:rFonts w:cs="Arial"/>
            <w:szCs w:val="22"/>
          </w:rPr>
          <w:t>JCC</w:t>
        </w:r>
      </w:smartTag>
      <w:r w:rsidRPr="008E272B">
        <w:rPr>
          <w:rFonts w:cs="Arial"/>
          <w:szCs w:val="22"/>
        </w:rPr>
        <w:t>, one from the Management Side and one from the Staff Side, and a secretary to take the Minutes.</w:t>
      </w:r>
    </w:p>
    <w:p w14:paraId="1BAB7307"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Staff Side organisations, through their own procedures, will nominate their representative(s) to the </w:t>
      </w:r>
      <w:smartTag w:uri="urn:schemas-microsoft-com:office:smarttags" w:element="stockticker">
        <w:r w:rsidRPr="008E272B">
          <w:rPr>
            <w:rFonts w:cs="Arial"/>
            <w:szCs w:val="22"/>
          </w:rPr>
          <w:t>JCC</w:t>
        </w:r>
      </w:smartTag>
      <w:r w:rsidRPr="008E272B">
        <w:rPr>
          <w:rFonts w:cs="Arial"/>
          <w:szCs w:val="22"/>
        </w:rPr>
        <w:t xml:space="preserve">. In the event of a </w:t>
      </w:r>
      <w:smartTag w:uri="urn:schemas-microsoft-com:office:smarttags" w:element="stockticker">
        <w:r w:rsidRPr="008E272B">
          <w:rPr>
            <w:rFonts w:cs="Arial"/>
            <w:szCs w:val="22"/>
          </w:rPr>
          <w:t>JCC</w:t>
        </w:r>
      </w:smartTag>
      <w:r w:rsidRPr="008E272B">
        <w:rPr>
          <w:rFonts w:cs="Arial"/>
          <w:szCs w:val="22"/>
        </w:rPr>
        <w:t xml:space="preserve"> member being unable to attend any meeting, the appropriate Staff Side union may delegate a person to attend in his or her place, and such substitute shall be entitled to take a full part in the proceedings.</w:t>
      </w:r>
    </w:p>
    <w:p w14:paraId="1B68A5D1" w14:textId="45FE89DE"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On the occurrence of a casual vacancy, a new member shall be appointed by the Staff Side union in whose representation the vacancy occurs</w:t>
      </w:r>
      <w:r w:rsidR="003B0CB0" w:rsidRPr="008E272B">
        <w:rPr>
          <w:rFonts w:cs="Arial"/>
          <w:szCs w:val="22"/>
        </w:rPr>
        <w:t xml:space="preserve"> and</w:t>
      </w:r>
      <w:r w:rsidRPr="008E272B">
        <w:rPr>
          <w:rFonts w:cs="Arial"/>
          <w:szCs w:val="22"/>
        </w:rPr>
        <w:t xml:space="preserve"> shall sit until the end of the period for which his or her predecessor was appointed.</w:t>
      </w:r>
    </w:p>
    <w:p w14:paraId="15D6EA0F" w14:textId="1FFBDB61" w:rsidR="00C96E61"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Full Time Officers of the Staff Side unions recog</w:t>
      </w:r>
      <w:r w:rsidRPr="008E272B">
        <w:rPr>
          <w:rFonts w:cs="Arial"/>
          <w:szCs w:val="22"/>
        </w:rPr>
        <w:softHyphen/>
        <w:t>nised by the Trust may attend and participate in meet</w:t>
      </w:r>
      <w:r w:rsidRPr="008E272B">
        <w:rPr>
          <w:rFonts w:cs="Arial"/>
          <w:szCs w:val="22"/>
        </w:rPr>
        <w:softHyphen/>
        <w:t xml:space="preserve">ings of the </w:t>
      </w:r>
      <w:smartTag w:uri="urn:schemas-microsoft-com:office:smarttags" w:element="stockticker">
        <w:r w:rsidRPr="008E272B">
          <w:rPr>
            <w:rFonts w:cs="Arial"/>
            <w:szCs w:val="22"/>
          </w:rPr>
          <w:t>JCC</w:t>
        </w:r>
      </w:smartTag>
      <w:r w:rsidRPr="008E272B">
        <w:rPr>
          <w:rFonts w:cs="Arial"/>
          <w:szCs w:val="22"/>
        </w:rPr>
        <w:t xml:space="preserve"> and will be written into the Proceedings. </w:t>
      </w:r>
      <w:r w:rsidRPr="008E272B">
        <w:rPr>
          <w:rFonts w:cs="Arial"/>
          <w:i/>
          <w:szCs w:val="22"/>
        </w:rPr>
        <w:t xml:space="preserve"> </w:t>
      </w:r>
      <w:r w:rsidRPr="008E272B">
        <w:rPr>
          <w:rFonts w:cs="Arial"/>
          <w:szCs w:val="22"/>
        </w:rPr>
        <w:t>They must register their intention to attend with the Staff Side Secretary (who will convey this intention to the Management Side Secretary) by the day before the meeting at the latest. Attendances may be refused should this intention not be registered.</w:t>
      </w:r>
    </w:p>
    <w:p w14:paraId="329A0A19" w14:textId="77777777" w:rsidR="00C96E61" w:rsidRPr="008E272B" w:rsidRDefault="00C96E61" w:rsidP="00DF4A7E">
      <w:pPr>
        <w:spacing w:before="120" w:after="120"/>
        <w:rPr>
          <w:rFonts w:cs="Arial"/>
          <w:b/>
          <w:sz w:val="24"/>
        </w:rPr>
      </w:pPr>
    </w:p>
    <w:p w14:paraId="675C41DC" w14:textId="38731930" w:rsidR="00F4646C" w:rsidRPr="008E272B" w:rsidRDefault="00F4646C" w:rsidP="00DF4A7E">
      <w:pPr>
        <w:pStyle w:val="ListParagraph"/>
        <w:numPr>
          <w:ilvl w:val="0"/>
          <w:numId w:val="27"/>
        </w:numPr>
        <w:spacing w:before="120" w:after="120"/>
        <w:contextualSpacing w:val="0"/>
        <w:rPr>
          <w:rFonts w:cs="Arial"/>
          <w:b/>
          <w:sz w:val="24"/>
        </w:rPr>
      </w:pPr>
      <w:r w:rsidRPr="008E272B">
        <w:rPr>
          <w:rFonts w:cs="Arial"/>
          <w:b/>
          <w:sz w:val="24"/>
        </w:rPr>
        <w:t xml:space="preserve">Conduct of Business </w:t>
      </w:r>
    </w:p>
    <w:p w14:paraId="59578A09"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Administration The Trust</w:t>
      </w:r>
      <w:r w:rsidRPr="008E272B">
        <w:rPr>
          <w:rFonts w:cs="Arial"/>
          <w:b/>
          <w:i/>
          <w:szCs w:val="22"/>
        </w:rPr>
        <w:t xml:space="preserve"> </w:t>
      </w:r>
      <w:r w:rsidRPr="008E272B">
        <w:rPr>
          <w:rFonts w:cs="Arial"/>
          <w:szCs w:val="22"/>
        </w:rPr>
        <w:t xml:space="preserve">shall provide accommodation for meetings </w:t>
      </w:r>
      <w:proofErr w:type="gramStart"/>
      <w:r w:rsidRPr="008E272B">
        <w:rPr>
          <w:rFonts w:cs="Arial"/>
          <w:szCs w:val="22"/>
        </w:rPr>
        <w:t>and also</w:t>
      </w:r>
      <w:proofErr w:type="gramEnd"/>
      <w:r w:rsidRPr="008E272B">
        <w:rPr>
          <w:rFonts w:cs="Arial"/>
          <w:szCs w:val="22"/>
        </w:rPr>
        <w:t xml:space="preserve"> the cost of the secretarial and administrative support will be borne by the Trust.</w:t>
      </w:r>
    </w:p>
    <w:p w14:paraId="0E575171"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iCs/>
          <w:szCs w:val="22"/>
        </w:rPr>
        <w:t xml:space="preserve">Frequency </w:t>
      </w:r>
      <w:r w:rsidRPr="008E272B">
        <w:rPr>
          <w:rFonts w:cs="Arial"/>
          <w:szCs w:val="22"/>
        </w:rPr>
        <w:t xml:space="preserve">Meetings will be held bi-monthly.  A special meeting of the </w:t>
      </w:r>
      <w:smartTag w:uri="urn:schemas-microsoft-com:office:smarttags" w:element="stockticker">
        <w:r w:rsidRPr="008E272B">
          <w:rPr>
            <w:rFonts w:cs="Arial"/>
            <w:szCs w:val="22"/>
          </w:rPr>
          <w:t>JCC</w:t>
        </w:r>
      </w:smartTag>
      <w:r w:rsidRPr="008E272B">
        <w:rPr>
          <w:rFonts w:cs="Arial"/>
          <w:szCs w:val="22"/>
        </w:rPr>
        <w:t xml:space="preserve"> may be called by the agreement of both Chairpersons. The business to be discussed at the special meeting shall be limited to matters stated on the notice summoning the meeting.  Notice of meetings will be </w:t>
      </w:r>
      <w:proofErr w:type="gramStart"/>
      <w:r w:rsidRPr="008E272B">
        <w:rPr>
          <w:rFonts w:cs="Arial"/>
          <w:szCs w:val="22"/>
        </w:rPr>
        <w:t>as long as</w:t>
      </w:r>
      <w:proofErr w:type="gramEnd"/>
      <w:r w:rsidRPr="008E272B">
        <w:rPr>
          <w:rFonts w:cs="Arial"/>
          <w:szCs w:val="22"/>
        </w:rPr>
        <w:t xml:space="preserve"> possible, but it is recognised that on occasions it will be necessary to call meetings at short notice.</w:t>
      </w:r>
    </w:p>
    <w:p w14:paraId="46DC0B2E"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iCs/>
          <w:szCs w:val="22"/>
        </w:rPr>
        <w:t xml:space="preserve">Notice of meetings </w:t>
      </w:r>
      <w:r w:rsidRPr="008E272B">
        <w:rPr>
          <w:rFonts w:cs="Arial"/>
          <w:szCs w:val="22"/>
        </w:rPr>
        <w:t>At least ten days' notice in writing shall be given of meetings and agenda items. For this purpose, notice shall be given to the Joint Secretaries as soon as possible of any matter intended to be raised at this meeting.</w:t>
      </w:r>
    </w:p>
    <w:p w14:paraId="02A5C738" w14:textId="77777777" w:rsidR="00F4646C" w:rsidRPr="008E272B" w:rsidRDefault="00F4646C" w:rsidP="00DF4A7E">
      <w:pPr>
        <w:pStyle w:val="ListParagraph"/>
        <w:numPr>
          <w:ilvl w:val="1"/>
          <w:numId w:val="27"/>
        </w:numPr>
        <w:spacing w:before="120" w:after="120"/>
        <w:ind w:left="709" w:firstLine="1"/>
        <w:contextualSpacing w:val="0"/>
        <w:rPr>
          <w:rFonts w:cs="Arial"/>
          <w:szCs w:val="22"/>
        </w:rPr>
      </w:pPr>
      <w:r w:rsidRPr="008E272B">
        <w:rPr>
          <w:rFonts w:cs="Arial"/>
          <w:szCs w:val="22"/>
        </w:rPr>
        <w:t xml:space="preserve"> Reporting The draft minutes of the previous meeting will be circulated to the Joint Secretaries to agree the content. The agreed draft minutes will then be sent by the Trust Secretary to all members of the </w:t>
      </w:r>
      <w:smartTag w:uri="urn:schemas-microsoft-com:office:smarttags" w:element="stockticker">
        <w:r w:rsidRPr="008E272B">
          <w:rPr>
            <w:rFonts w:cs="Arial"/>
            <w:szCs w:val="22"/>
          </w:rPr>
          <w:t>JCC</w:t>
        </w:r>
      </w:smartTag>
      <w:r w:rsidRPr="008E272B">
        <w:rPr>
          <w:rFonts w:cs="Arial"/>
          <w:szCs w:val="22"/>
        </w:rPr>
        <w:t xml:space="preserve"> at least ten working days prior to the succeeding meeting. Minutes of meetings shall also be sent to ex-officio members.  </w:t>
      </w:r>
    </w:p>
    <w:p w14:paraId="2CD86B37" w14:textId="77777777" w:rsidR="00F4646C" w:rsidRPr="008E272B" w:rsidRDefault="00F4646C" w:rsidP="00DF4A7E">
      <w:pPr>
        <w:pStyle w:val="ListParagraph"/>
        <w:numPr>
          <w:ilvl w:val="0"/>
          <w:numId w:val="27"/>
        </w:numPr>
        <w:spacing w:before="120" w:after="120"/>
        <w:rPr>
          <w:rFonts w:cs="Arial"/>
          <w:b/>
        </w:rPr>
      </w:pPr>
      <w:r w:rsidRPr="008E272B">
        <w:rPr>
          <w:rFonts w:cs="Arial"/>
          <w:b/>
          <w:sz w:val="24"/>
        </w:rPr>
        <w:lastRenderedPageBreak/>
        <w:t xml:space="preserve">Review </w:t>
      </w:r>
    </w:p>
    <w:p w14:paraId="0595D57C" w14:textId="77777777" w:rsidR="00F4646C" w:rsidRPr="008E272B" w:rsidRDefault="00F4646C" w:rsidP="00DF4A7E">
      <w:pPr>
        <w:pStyle w:val="ListParagraph"/>
        <w:spacing w:before="120" w:after="120"/>
        <w:ind w:left="360"/>
        <w:rPr>
          <w:rFonts w:cs="Arial"/>
          <w:b/>
          <w:szCs w:val="22"/>
        </w:rPr>
      </w:pPr>
    </w:p>
    <w:p w14:paraId="602B9883" w14:textId="77777777" w:rsidR="00F4646C" w:rsidRPr="008E272B" w:rsidRDefault="00F4646C" w:rsidP="00DF4A7E">
      <w:pPr>
        <w:pStyle w:val="ListParagraph"/>
        <w:numPr>
          <w:ilvl w:val="1"/>
          <w:numId w:val="27"/>
        </w:numPr>
        <w:spacing w:before="120" w:after="120"/>
        <w:ind w:left="709" w:firstLine="0"/>
        <w:rPr>
          <w:rFonts w:cs="Arial"/>
          <w:szCs w:val="22"/>
        </w:rPr>
      </w:pPr>
      <w:r w:rsidRPr="008E272B">
        <w:rPr>
          <w:rFonts w:cs="Arial"/>
          <w:szCs w:val="22"/>
        </w:rPr>
        <w:t xml:space="preserve">These Terms of Reference will be subject to an annual review. The JCC shall conduct an annual self-assessment on the performance of its duties as reflected within its Terms of Reference. </w:t>
      </w:r>
    </w:p>
    <w:p w14:paraId="0386C8B6" w14:textId="77777777" w:rsidR="00F4646C" w:rsidRPr="008E272B" w:rsidRDefault="00F4646C" w:rsidP="00DF4A7E">
      <w:pPr>
        <w:pStyle w:val="ListParagraph"/>
        <w:spacing w:before="120" w:after="120"/>
        <w:ind w:left="709"/>
        <w:rPr>
          <w:rFonts w:cs="Arial"/>
          <w:szCs w:val="22"/>
        </w:rPr>
      </w:pPr>
    </w:p>
    <w:p w14:paraId="64CEAFE7" w14:textId="6BABF490" w:rsidR="00F4646C" w:rsidRPr="008E272B" w:rsidRDefault="00F4646C" w:rsidP="00DF4A7E">
      <w:pPr>
        <w:pStyle w:val="ListParagraph"/>
        <w:numPr>
          <w:ilvl w:val="1"/>
          <w:numId w:val="27"/>
        </w:numPr>
        <w:spacing w:before="120" w:after="120"/>
        <w:ind w:left="709" w:firstLine="0"/>
        <w:rPr>
          <w:rFonts w:cs="Arial"/>
          <w:szCs w:val="22"/>
        </w:rPr>
      </w:pPr>
      <w:r w:rsidRPr="008E272B">
        <w:rPr>
          <w:rFonts w:cs="Arial"/>
          <w:szCs w:val="22"/>
        </w:rPr>
        <w:t xml:space="preserve">As part of this assessment, the Committee shall consider </w:t>
      </w:r>
      <w:r w:rsidR="003B0CB0" w:rsidRPr="008E272B">
        <w:rPr>
          <w:rFonts w:cs="Arial"/>
          <w:szCs w:val="22"/>
        </w:rPr>
        <w:t>whether</w:t>
      </w:r>
      <w:r w:rsidRPr="008E272B">
        <w:rPr>
          <w:rFonts w:cs="Arial"/>
          <w:szCs w:val="22"/>
        </w:rPr>
        <w:t xml:space="preserve"> it receives adequate and appropriate support in fulfilment of its role and </w:t>
      </w:r>
      <w:proofErr w:type="gramStart"/>
      <w:r w:rsidRPr="008E272B">
        <w:rPr>
          <w:rFonts w:cs="Arial"/>
          <w:szCs w:val="22"/>
        </w:rPr>
        <w:t>whether or not</w:t>
      </w:r>
      <w:proofErr w:type="gramEnd"/>
      <w:r w:rsidRPr="008E272B">
        <w:rPr>
          <w:rFonts w:cs="Arial"/>
          <w:szCs w:val="22"/>
        </w:rPr>
        <w:t xml:space="preserve"> its current workload is manageable.</w:t>
      </w:r>
    </w:p>
    <w:p w14:paraId="3E249346" w14:textId="77777777" w:rsidR="005B5578" w:rsidRPr="008E272B" w:rsidRDefault="005B5578" w:rsidP="00DF4A7E">
      <w:pPr>
        <w:spacing w:before="120" w:after="120"/>
        <w:jc w:val="left"/>
        <w:rPr>
          <w:rFonts w:cs="Arial"/>
          <w:szCs w:val="22"/>
        </w:rPr>
      </w:pPr>
    </w:p>
    <w:p w14:paraId="488ED65A" w14:textId="4213C6DE" w:rsidR="005B5578" w:rsidRPr="008E272B" w:rsidRDefault="005B5578" w:rsidP="00DF4A7E">
      <w:pPr>
        <w:spacing w:before="120" w:after="120"/>
        <w:rPr>
          <w:rFonts w:cs="Arial"/>
          <w:szCs w:val="22"/>
        </w:rPr>
      </w:pPr>
    </w:p>
    <w:sectPr w:rsidR="005B5578" w:rsidRPr="008E272B" w:rsidSect="00F427E8">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8D96" w14:textId="77777777" w:rsidR="00600C1D" w:rsidRDefault="00600C1D" w:rsidP="001F1224">
      <w:pPr>
        <w:spacing w:before="0" w:after="0"/>
      </w:pPr>
      <w:r>
        <w:separator/>
      </w:r>
    </w:p>
  </w:endnote>
  <w:endnote w:type="continuationSeparator" w:id="0">
    <w:p w14:paraId="493D6841" w14:textId="77777777" w:rsidR="00600C1D" w:rsidRDefault="00600C1D"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0E7" w14:textId="6F8B5937" w:rsidR="00A64363" w:rsidRDefault="00A64363" w:rsidP="00F427E8">
    <w:pPr>
      <w:tabs>
        <w:tab w:val="center" w:pos="4153"/>
        <w:tab w:val="right" w:pos="8910"/>
      </w:tabs>
      <w:spacing w:before="0" w:after="0"/>
      <w:jc w:val="left"/>
      <w:rPr>
        <w:rFonts w:ascii="Verdana" w:hAnsi="Verdana"/>
        <w:caps/>
        <w:sz w:val="14"/>
        <w:szCs w:val="16"/>
      </w:rPr>
    </w:pPr>
  </w:p>
  <w:p w14:paraId="11848305" w14:textId="0C984714" w:rsidR="00A64363" w:rsidRDefault="00DF4A7E"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t xml:space="preserve">Page </w:t>
    </w:r>
    <w:r w:rsidRPr="00A64363">
      <w:rPr>
        <w:rFonts w:ascii="Verdana" w:hAnsi="Verdana"/>
        <w:caps/>
        <w:sz w:val="14"/>
        <w:szCs w:val="16"/>
      </w:rPr>
      <w:fldChar w:fldCharType="begin"/>
    </w:r>
    <w:r w:rsidRPr="00A64363">
      <w:rPr>
        <w:rFonts w:ascii="Verdana" w:hAnsi="Verdana"/>
        <w:caps/>
        <w:sz w:val="14"/>
        <w:szCs w:val="16"/>
      </w:rPr>
      <w:instrText>PAGE   \* MERGEFORMAT</w:instrText>
    </w:r>
    <w:r w:rsidRPr="00A64363">
      <w:rPr>
        <w:rFonts w:ascii="Verdana" w:hAnsi="Verdana"/>
        <w:caps/>
        <w:sz w:val="14"/>
        <w:szCs w:val="16"/>
      </w:rPr>
      <w:fldChar w:fldCharType="separate"/>
    </w:r>
    <w:r>
      <w:rPr>
        <w:rFonts w:ascii="Verdana" w:hAnsi="Verdana"/>
        <w:caps/>
        <w:sz w:val="14"/>
        <w:szCs w:val="16"/>
      </w:rPr>
      <w:t>3</w:t>
    </w:r>
    <w:r w:rsidRPr="00A64363">
      <w:rPr>
        <w:rFonts w:ascii="Verdana" w:hAnsi="Verdana"/>
        <w:caps/>
        <w:sz w:val="14"/>
        <w:szCs w:val="16"/>
      </w:rPr>
      <w:fldChar w:fldCharType="end"/>
    </w:r>
  </w:p>
  <w:p w14:paraId="34A71A3B" w14:textId="6CBD6042" w:rsidR="00F427E8" w:rsidRPr="00C30808" w:rsidRDefault="00DF4A7E"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fldChar w:fldCharType="begin"/>
    </w:r>
    <w:r>
      <w:rPr>
        <w:rFonts w:ascii="Verdana" w:hAnsi="Verdana"/>
        <w:caps/>
        <w:sz w:val="14"/>
        <w:szCs w:val="16"/>
      </w:rPr>
      <w:instrText xml:space="preserve"> FILENAME  \* Upper  \* MERGEFORMAT </w:instrText>
    </w:r>
    <w:r>
      <w:rPr>
        <w:rFonts w:ascii="Verdana" w:hAnsi="Verdana"/>
        <w:caps/>
        <w:sz w:val="14"/>
        <w:szCs w:val="16"/>
      </w:rPr>
      <w:fldChar w:fldCharType="separate"/>
    </w:r>
    <w:r>
      <w:rPr>
        <w:rFonts w:ascii="Verdana" w:hAnsi="Verdana"/>
        <w:noProof/>
        <w:sz w:val="14"/>
        <w:szCs w:val="16"/>
      </w:rPr>
      <w:t>APPENDIX A - TERMS OF REFERENCE JOINT CONSULTATIVE COMMITTEE</w:t>
    </w:r>
    <w:r>
      <w:rPr>
        <w:rFonts w:ascii="Verdana" w:hAnsi="Verdana"/>
        <w:caps/>
        <w:sz w:val="14"/>
        <w:szCs w:val="16"/>
      </w:rPr>
      <w:fldChar w:fldCharType="end"/>
    </w:r>
    <w:r w:rsidR="00F427E8" w:rsidRPr="00C30808">
      <w:rPr>
        <w:rFonts w:ascii="Verdana" w:hAnsi="Verdana"/>
        <w:caps/>
        <w:sz w:val="14"/>
        <w:szCs w:val="16"/>
      </w:rPr>
      <w:tab/>
    </w:r>
    <w:r w:rsidR="00F427E8">
      <w:rPr>
        <w:rFonts w:ascii="Verdana" w:hAnsi="Verdana"/>
        <w:caps/>
        <w:sz w:val="14"/>
        <w:szCs w:val="16"/>
      </w:rPr>
      <w:t xml:space="preserve">Version: </w:t>
    </w:r>
    <w:r w:rsidR="00F15752">
      <w:rPr>
        <w:rFonts w:ascii="Verdana" w:hAnsi="Verdana"/>
        <w:caps/>
        <w:sz w:val="14"/>
        <w:szCs w:val="16"/>
      </w:rPr>
      <w:t>7</w:t>
    </w:r>
  </w:p>
  <w:p w14:paraId="09A61531" w14:textId="0AE50547" w:rsidR="00F427E8"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w:t>
    </w:r>
    <w:r>
      <w:rPr>
        <w:rFonts w:ascii="Verdana" w:hAnsi="Verdana"/>
        <w:caps/>
        <w:sz w:val="14"/>
        <w:szCs w:val="16"/>
      </w:rPr>
      <w:t xml:space="preserve">uthor: </w:t>
    </w:r>
    <w:r w:rsidR="00F15752">
      <w:rPr>
        <w:rFonts w:ascii="Verdana" w:hAnsi="Verdana"/>
        <w:caps/>
        <w:sz w:val="14"/>
        <w:szCs w:val="16"/>
      </w:rPr>
      <w:t>DCPO</w:t>
    </w:r>
    <w:r>
      <w:rPr>
        <w:rFonts w:ascii="Verdana" w:hAnsi="Verdana"/>
        <w:caps/>
        <w:sz w:val="14"/>
        <w:szCs w:val="16"/>
      </w:rPr>
      <w:tab/>
    </w:r>
    <w:r>
      <w:rPr>
        <w:rFonts w:ascii="Verdana" w:hAnsi="Verdana"/>
        <w:caps/>
        <w:sz w:val="14"/>
        <w:szCs w:val="16"/>
      </w:rPr>
      <w:tab/>
    </w:r>
    <w:r w:rsidR="00F15752">
      <w:rPr>
        <w:rFonts w:ascii="Verdana" w:hAnsi="Verdana"/>
        <w:caps/>
        <w:sz w:val="14"/>
        <w:szCs w:val="16"/>
      </w:rPr>
      <w:t>Dec 2022</w:t>
    </w:r>
  </w:p>
  <w:p w14:paraId="218426B0" w14:textId="2E3233B8" w:rsidR="00A64363"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b/>
    </w:r>
    <w:r w:rsidRPr="00C30808">
      <w:rPr>
        <w:rFonts w:ascii="Verdana" w:hAnsi="Verdana"/>
        <w:caps/>
        <w:sz w:val="14"/>
        <w:szCs w:val="16"/>
      </w:rPr>
      <w:tab/>
      <w:t>date of next review</w:t>
    </w:r>
    <w:r w:rsidR="00F15752">
      <w:rPr>
        <w:rFonts w:ascii="Verdana" w:hAnsi="Verdana"/>
        <w:caps/>
        <w:sz w:val="14"/>
        <w:szCs w:val="16"/>
      </w:rPr>
      <w:t xml:space="preserve"> Dec</w:t>
    </w:r>
    <w:r w:rsidRPr="00C30808">
      <w:rPr>
        <w:rFonts w:ascii="Verdana" w:hAnsi="Verdana"/>
        <w:caps/>
        <w:sz w:val="14"/>
        <w:szCs w:val="16"/>
      </w:rPr>
      <w:t xml:space="preserve"> 2024</w:t>
    </w:r>
  </w:p>
  <w:p w14:paraId="44D52964" w14:textId="77777777" w:rsidR="00600C1D" w:rsidRPr="00F427E8" w:rsidRDefault="00600C1D" w:rsidP="00F4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0A9" w14:textId="77777777" w:rsidR="00600C1D" w:rsidRDefault="00600C1D" w:rsidP="001F1224">
      <w:pPr>
        <w:spacing w:before="0" w:after="0"/>
      </w:pPr>
      <w:r>
        <w:separator/>
      </w:r>
    </w:p>
  </w:footnote>
  <w:footnote w:type="continuationSeparator" w:id="0">
    <w:p w14:paraId="27397E62" w14:textId="77777777" w:rsidR="00600C1D" w:rsidRDefault="00600C1D"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035" w14:textId="0777C0F4" w:rsidR="0062129E" w:rsidRDefault="0062129E" w:rsidP="0062129E">
    <w:pPr>
      <w:pStyle w:val="Header"/>
      <w:tabs>
        <w:tab w:val="clear" w:pos="4513"/>
        <w:tab w:val="clear" w:pos="9026"/>
        <w:tab w:val="right" w:pos="9639"/>
      </w:tabs>
    </w:pPr>
    <w:r>
      <w:tab/>
    </w:r>
    <w:r>
      <w:rPr>
        <w:noProof/>
      </w:rPr>
      <w:drawing>
        <wp:inline distT="0" distB="0" distL="0" distR="0" wp14:anchorId="18320F22" wp14:editId="78ED5D57">
          <wp:extent cx="1040607" cy="730250"/>
          <wp:effectExtent l="0" t="0" r="7620" b="0"/>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47" cy="746138"/>
                  </a:xfrm>
                  <a:prstGeom prst="rect">
                    <a:avLst/>
                  </a:prstGeom>
                </pic:spPr>
              </pic:pic>
            </a:graphicData>
          </a:graphic>
        </wp:inline>
      </w:drawing>
    </w:r>
  </w:p>
  <w:p w14:paraId="4E0C2155" w14:textId="77777777" w:rsidR="0062129E" w:rsidRDefault="0062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32AE0"/>
    <w:multiLevelType w:val="multilevel"/>
    <w:tmpl w:val="006A20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73E0EA4"/>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55528"/>
    <w:multiLevelType w:val="multilevel"/>
    <w:tmpl w:val="436602B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A84AA2"/>
    <w:multiLevelType w:val="hybridMultilevel"/>
    <w:tmpl w:val="EDB8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9E139E"/>
    <w:multiLevelType w:val="hybridMultilevel"/>
    <w:tmpl w:val="8DDE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C5F28"/>
    <w:multiLevelType w:val="multilevel"/>
    <w:tmpl w:val="AA843828"/>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1D157682"/>
    <w:multiLevelType w:val="hybridMultilevel"/>
    <w:tmpl w:val="1466F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184E32"/>
    <w:multiLevelType w:val="hybridMultilevel"/>
    <w:tmpl w:val="4DAA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85156D"/>
    <w:multiLevelType w:val="hybridMultilevel"/>
    <w:tmpl w:val="E4D69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6E730C"/>
    <w:multiLevelType w:val="multilevel"/>
    <w:tmpl w:val="FE84BA70"/>
    <w:lvl w:ilvl="0">
      <w:start w:val="2"/>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7A51961"/>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144257"/>
    <w:multiLevelType w:val="hybridMultilevel"/>
    <w:tmpl w:val="83722FD8"/>
    <w:lvl w:ilvl="0" w:tplc="1DFCCB6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14A0B"/>
    <w:multiLevelType w:val="hybridMultilevel"/>
    <w:tmpl w:val="A7086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C0B36"/>
    <w:multiLevelType w:val="hybridMultilevel"/>
    <w:tmpl w:val="8EB64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94180F"/>
    <w:multiLevelType w:val="hybridMultilevel"/>
    <w:tmpl w:val="5638F838"/>
    <w:lvl w:ilvl="0" w:tplc="1DFCCB6A">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1C1A20"/>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9C7B69"/>
    <w:multiLevelType w:val="hybridMultilevel"/>
    <w:tmpl w:val="A0CC37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553C1B01"/>
    <w:multiLevelType w:val="multilevel"/>
    <w:tmpl w:val="CB589ADA"/>
    <w:lvl w:ilvl="0">
      <w:start w:val="6"/>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5720C5"/>
    <w:multiLevelType w:val="multilevel"/>
    <w:tmpl w:val="97C85D5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0B428BF"/>
    <w:multiLevelType w:val="hybridMultilevel"/>
    <w:tmpl w:val="E1BA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D2F6B96"/>
    <w:multiLevelType w:val="multilevel"/>
    <w:tmpl w:val="3636101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65229B"/>
    <w:multiLevelType w:val="multilevel"/>
    <w:tmpl w:val="B412B9DC"/>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75215729"/>
    <w:multiLevelType w:val="hybridMultilevel"/>
    <w:tmpl w:val="EC225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254FE6"/>
    <w:multiLevelType w:val="hybridMultilevel"/>
    <w:tmpl w:val="7B26059A"/>
    <w:lvl w:ilvl="0" w:tplc="08090001">
      <w:start w:val="1"/>
      <w:numFmt w:val="bullet"/>
      <w:lvlText w:val=""/>
      <w:lvlJc w:val="left"/>
      <w:pPr>
        <w:ind w:left="720" w:hanging="360"/>
      </w:pPr>
      <w:rPr>
        <w:rFonts w:ascii="Symbol" w:hAnsi="Symbol" w:hint="default"/>
      </w:rPr>
    </w:lvl>
    <w:lvl w:ilvl="1" w:tplc="D06EAB3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404A"/>
    <w:multiLevelType w:val="multilevel"/>
    <w:tmpl w:val="29805FD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77391122">
    <w:abstractNumId w:val="3"/>
  </w:num>
  <w:num w:numId="2" w16cid:durableId="179705965">
    <w:abstractNumId w:val="23"/>
  </w:num>
  <w:num w:numId="3" w16cid:durableId="1561281043">
    <w:abstractNumId w:val="1"/>
  </w:num>
  <w:num w:numId="4" w16cid:durableId="1856339503">
    <w:abstractNumId w:val="19"/>
  </w:num>
  <w:num w:numId="5" w16cid:durableId="309793457">
    <w:abstractNumId w:val="9"/>
  </w:num>
  <w:num w:numId="6" w16cid:durableId="1258516708">
    <w:abstractNumId w:val="22"/>
  </w:num>
  <w:num w:numId="7" w16cid:durableId="1617641923">
    <w:abstractNumId w:val="15"/>
  </w:num>
  <w:num w:numId="8" w16cid:durableId="1866166254">
    <w:abstractNumId w:val="6"/>
  </w:num>
  <w:num w:numId="9" w16cid:durableId="1894190178">
    <w:abstractNumId w:val="2"/>
  </w:num>
  <w:num w:numId="10" w16cid:durableId="1987583163">
    <w:abstractNumId w:val="28"/>
  </w:num>
  <w:num w:numId="11" w16cid:durableId="212741082">
    <w:abstractNumId w:val="5"/>
  </w:num>
  <w:num w:numId="12" w16cid:durableId="1217550467">
    <w:abstractNumId w:val="20"/>
  </w:num>
  <w:num w:numId="13" w16cid:durableId="506135273">
    <w:abstractNumId w:val="24"/>
  </w:num>
  <w:num w:numId="14" w16cid:durableId="1633095441">
    <w:abstractNumId w:val="10"/>
  </w:num>
  <w:num w:numId="15" w16cid:durableId="813720370">
    <w:abstractNumId w:val="0"/>
  </w:num>
  <w:num w:numId="16" w16cid:durableId="12644127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70077">
    <w:abstractNumId w:val="2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736794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2593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197656">
    <w:abstractNumId w:val="11"/>
  </w:num>
  <w:num w:numId="21" w16cid:durableId="2003580283">
    <w:abstractNumId w:val="14"/>
  </w:num>
  <w:num w:numId="22" w16cid:durableId="2047097044">
    <w:abstractNumId w:val="17"/>
  </w:num>
  <w:num w:numId="23" w16cid:durableId="1949005525">
    <w:abstractNumId w:val="16"/>
  </w:num>
  <w:num w:numId="24" w16cid:durableId="1704474180">
    <w:abstractNumId w:val="7"/>
  </w:num>
  <w:num w:numId="25" w16cid:durableId="1971934862">
    <w:abstractNumId w:val="26"/>
  </w:num>
  <w:num w:numId="26" w16cid:durableId="112747617">
    <w:abstractNumId w:val="27"/>
  </w:num>
  <w:num w:numId="27" w16cid:durableId="1512795500">
    <w:abstractNumId w:val="18"/>
  </w:num>
  <w:num w:numId="28" w16cid:durableId="1873421712">
    <w:abstractNumId w:val="13"/>
  </w:num>
  <w:num w:numId="29" w16cid:durableId="166755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24"/>
    <w:rsid w:val="00107AB3"/>
    <w:rsid w:val="00130E26"/>
    <w:rsid w:val="001572E8"/>
    <w:rsid w:val="001B5EA9"/>
    <w:rsid w:val="001C55AB"/>
    <w:rsid w:val="001F1224"/>
    <w:rsid w:val="00244AA9"/>
    <w:rsid w:val="00271E0F"/>
    <w:rsid w:val="00346908"/>
    <w:rsid w:val="003B0CB0"/>
    <w:rsid w:val="003E6DBA"/>
    <w:rsid w:val="004954FB"/>
    <w:rsid w:val="00503A91"/>
    <w:rsid w:val="00514557"/>
    <w:rsid w:val="005227EA"/>
    <w:rsid w:val="00552F08"/>
    <w:rsid w:val="005B5578"/>
    <w:rsid w:val="00600C1D"/>
    <w:rsid w:val="0062129E"/>
    <w:rsid w:val="00633117"/>
    <w:rsid w:val="00656F8C"/>
    <w:rsid w:val="007C19CD"/>
    <w:rsid w:val="0081177E"/>
    <w:rsid w:val="0086111D"/>
    <w:rsid w:val="008B7787"/>
    <w:rsid w:val="008C2146"/>
    <w:rsid w:val="008E272B"/>
    <w:rsid w:val="008F2AAA"/>
    <w:rsid w:val="00984656"/>
    <w:rsid w:val="009D2FF5"/>
    <w:rsid w:val="00A176C2"/>
    <w:rsid w:val="00A64363"/>
    <w:rsid w:val="00B869AA"/>
    <w:rsid w:val="00BB0B3F"/>
    <w:rsid w:val="00BB23AE"/>
    <w:rsid w:val="00BD6191"/>
    <w:rsid w:val="00C07A6D"/>
    <w:rsid w:val="00C32367"/>
    <w:rsid w:val="00C96E61"/>
    <w:rsid w:val="00CE766F"/>
    <w:rsid w:val="00CF407A"/>
    <w:rsid w:val="00D94D54"/>
    <w:rsid w:val="00DF4A7E"/>
    <w:rsid w:val="00E02F0D"/>
    <w:rsid w:val="00E11109"/>
    <w:rsid w:val="00E13227"/>
    <w:rsid w:val="00E464B2"/>
    <w:rsid w:val="00EE0957"/>
    <w:rsid w:val="00F15752"/>
    <w:rsid w:val="00F226EB"/>
    <w:rsid w:val="00F427E8"/>
    <w:rsid w:val="00F4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71DD765"/>
  <w15:docId w15:val="{AD5B4326-60FB-40F6-AE12-C2CBE96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paragraph" w:styleId="Heading5">
    <w:name w:val="heading 5"/>
    <w:basedOn w:val="Normal"/>
    <w:next w:val="Normal"/>
    <w:link w:val="Heading5Char"/>
    <w:uiPriority w:val="9"/>
    <w:semiHidden/>
    <w:unhideWhenUsed/>
    <w:qFormat/>
    <w:rsid w:val="005B5578"/>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323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67"/>
    <w:rPr>
      <w:rFonts w:ascii="Tahoma" w:eastAsia="Times New Roman" w:hAnsi="Tahoma" w:cs="Tahoma"/>
      <w:sz w:val="16"/>
      <w:szCs w:val="16"/>
      <w:lang w:eastAsia="en-GB"/>
    </w:rPr>
  </w:style>
  <w:style w:type="paragraph" w:styleId="FootnoteText">
    <w:name w:val="footnote text"/>
    <w:basedOn w:val="Normal"/>
    <w:link w:val="FootnoteTextChar"/>
    <w:semiHidden/>
    <w:rsid w:val="00A176C2"/>
    <w:pPr>
      <w:spacing w:before="0" w:after="0"/>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semiHidden/>
    <w:rsid w:val="00A176C2"/>
    <w:rPr>
      <w:rFonts w:ascii="Times New Roman" w:eastAsia="Times New Roman" w:hAnsi="Times New Roman" w:cs="Times New Roman"/>
      <w:sz w:val="20"/>
      <w:szCs w:val="20"/>
      <w:lang w:val="en-US"/>
    </w:rPr>
  </w:style>
  <w:style w:type="character" w:styleId="FootnoteReference">
    <w:name w:val="footnote reference"/>
    <w:semiHidden/>
    <w:rsid w:val="00A176C2"/>
    <w:rPr>
      <w:vertAlign w:val="superscript"/>
    </w:rPr>
  </w:style>
  <w:style w:type="character" w:styleId="CommentReference">
    <w:name w:val="annotation reference"/>
    <w:basedOn w:val="DefaultParagraphFont"/>
    <w:uiPriority w:val="99"/>
    <w:semiHidden/>
    <w:unhideWhenUsed/>
    <w:rsid w:val="009D2FF5"/>
    <w:rPr>
      <w:sz w:val="16"/>
      <w:szCs w:val="16"/>
    </w:rPr>
  </w:style>
  <w:style w:type="paragraph" w:styleId="CommentText">
    <w:name w:val="annotation text"/>
    <w:basedOn w:val="Normal"/>
    <w:link w:val="CommentTextChar"/>
    <w:uiPriority w:val="99"/>
    <w:semiHidden/>
    <w:unhideWhenUsed/>
    <w:rsid w:val="009D2FF5"/>
    <w:rPr>
      <w:sz w:val="20"/>
      <w:szCs w:val="20"/>
    </w:rPr>
  </w:style>
  <w:style w:type="character" w:customStyle="1" w:styleId="CommentTextChar">
    <w:name w:val="Comment Text Char"/>
    <w:basedOn w:val="DefaultParagraphFont"/>
    <w:link w:val="CommentText"/>
    <w:uiPriority w:val="99"/>
    <w:semiHidden/>
    <w:rsid w:val="009D2F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2FF5"/>
    <w:rPr>
      <w:b/>
      <w:bCs/>
    </w:rPr>
  </w:style>
  <w:style w:type="character" w:customStyle="1" w:styleId="CommentSubjectChar">
    <w:name w:val="Comment Subject Char"/>
    <w:basedOn w:val="CommentTextChar"/>
    <w:link w:val="CommentSubject"/>
    <w:uiPriority w:val="99"/>
    <w:semiHidden/>
    <w:rsid w:val="009D2FF5"/>
    <w:rPr>
      <w:rFonts w:ascii="Arial" w:eastAsia="Times New Roman" w:hAnsi="Arial" w:cs="Times New Roman"/>
      <w:b/>
      <w:bCs/>
      <w:sz w:val="20"/>
      <w:szCs w:val="20"/>
      <w:lang w:eastAsia="en-GB"/>
    </w:rPr>
  </w:style>
  <w:style w:type="character" w:customStyle="1" w:styleId="Heading5Char">
    <w:name w:val="Heading 5 Char"/>
    <w:basedOn w:val="DefaultParagraphFont"/>
    <w:link w:val="Heading5"/>
    <w:uiPriority w:val="9"/>
    <w:semiHidden/>
    <w:rsid w:val="005B5578"/>
    <w:rPr>
      <w:rFonts w:asciiTheme="majorHAnsi" w:eastAsiaTheme="majorEastAsia" w:hAnsiTheme="majorHAnsi" w:cstheme="majorBidi"/>
      <w:color w:val="243F60" w:themeColor="accent1" w:themeShade="7F"/>
      <w:szCs w:val="24"/>
      <w:lang w:eastAsia="en-GB"/>
    </w:rPr>
  </w:style>
  <w:style w:type="table" w:customStyle="1" w:styleId="TableGrid1">
    <w:name w:val="Table Grid1"/>
    <w:basedOn w:val="TableNormal"/>
    <w:next w:val="TableGrid"/>
    <w:uiPriority w:val="39"/>
    <w:rsid w:val="00F46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4</cp:revision>
  <dcterms:created xsi:type="dcterms:W3CDTF">2023-06-16T10:22:00Z</dcterms:created>
  <dcterms:modified xsi:type="dcterms:W3CDTF">2023-06-16T11:13:00Z</dcterms:modified>
</cp:coreProperties>
</file>